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7E" w:rsidRPr="002F6E29" w:rsidRDefault="004E557E" w:rsidP="004E557E">
      <w:pPr>
        <w:widowControl w:val="0"/>
        <w:autoSpaceDE w:val="0"/>
        <w:autoSpaceDN w:val="0"/>
        <w:adjustRightInd w:val="0"/>
        <w:snapToGrid w:val="0"/>
        <w:spacing w:before="120" w:after="120"/>
        <w:jc w:val="center"/>
        <w:rPr>
          <w:rFonts w:ascii="Arial" w:hAnsi="Arial" w:cs="Arial"/>
          <w:b/>
          <w:color w:val="231F1F"/>
          <w:sz w:val="24"/>
          <w:szCs w:val="24"/>
        </w:rPr>
      </w:pPr>
      <w:r w:rsidRPr="00F92FF8">
        <w:rPr>
          <w:rFonts w:ascii="Arial" w:hAnsi="Arial" w:cs="Arial"/>
          <w:b/>
          <w:color w:val="231F1F"/>
          <w:sz w:val="24"/>
          <w:szCs w:val="24"/>
        </w:rPr>
        <w:t>RÈGLEMENT (CC) N°XXX/201X (</w:t>
      </w:r>
      <w:r w:rsidRPr="00F92FF8">
        <w:rPr>
          <w:rFonts w:ascii="Arial" w:hAnsi="Arial" w:cs="Arial"/>
          <w:b/>
          <w:color w:val="231F1F"/>
          <w:sz w:val="24"/>
          <w:szCs w:val="24"/>
          <w:highlight w:val="yellow"/>
        </w:rPr>
        <w:t>CE) No 748/</w:t>
      </w:r>
      <w:proofErr w:type="gramStart"/>
      <w:r w:rsidRPr="00F92FF8">
        <w:rPr>
          <w:rFonts w:ascii="Arial" w:hAnsi="Arial" w:cs="Arial"/>
          <w:b/>
          <w:color w:val="231F1F"/>
          <w:sz w:val="24"/>
          <w:szCs w:val="24"/>
          <w:highlight w:val="yellow"/>
        </w:rPr>
        <w:t>2012</w:t>
      </w:r>
      <w:r w:rsidRPr="002F6E29">
        <w:rPr>
          <w:rFonts w:ascii="Arial" w:hAnsi="Arial" w:cs="Arial"/>
          <w:b/>
          <w:color w:val="231F1F"/>
          <w:sz w:val="24"/>
          <w:szCs w:val="24"/>
        </w:rPr>
        <w:t xml:space="preserve">  DE</w:t>
      </w:r>
      <w:proofErr w:type="gramEnd"/>
      <w:r w:rsidRPr="002F6E29">
        <w:rPr>
          <w:rFonts w:ascii="Arial" w:hAnsi="Arial" w:cs="Arial"/>
          <w:b/>
          <w:color w:val="231F1F"/>
          <w:sz w:val="24"/>
          <w:szCs w:val="24"/>
        </w:rPr>
        <w:t xml:space="preserve"> LA COMMISSION</w:t>
      </w:r>
    </w:p>
    <w:p w:rsidR="004E557E" w:rsidRPr="002F6E29" w:rsidRDefault="004E557E" w:rsidP="004E557E">
      <w:pPr>
        <w:widowControl w:val="0"/>
        <w:autoSpaceDE w:val="0"/>
        <w:autoSpaceDN w:val="0"/>
        <w:adjustRightInd w:val="0"/>
        <w:snapToGrid w:val="0"/>
        <w:spacing w:before="120" w:after="120"/>
        <w:jc w:val="center"/>
        <w:rPr>
          <w:rFonts w:ascii="Arial" w:hAnsi="Arial" w:cs="Arial"/>
          <w:b/>
          <w:color w:val="231F1F"/>
          <w:sz w:val="24"/>
          <w:szCs w:val="24"/>
        </w:rPr>
      </w:pPr>
      <w:proofErr w:type="gramStart"/>
      <w:r w:rsidRPr="002F6E29">
        <w:rPr>
          <w:rFonts w:ascii="Arial" w:hAnsi="Arial" w:cs="Arial"/>
          <w:b/>
          <w:color w:val="231F1F"/>
          <w:sz w:val="24"/>
          <w:szCs w:val="24"/>
        </w:rPr>
        <w:t>du</w:t>
      </w:r>
      <w:proofErr w:type="gramEnd"/>
      <w:r w:rsidRPr="002F6E29">
        <w:rPr>
          <w:rFonts w:ascii="Arial" w:hAnsi="Arial" w:cs="Arial"/>
          <w:b/>
          <w:color w:val="231F1F"/>
          <w:sz w:val="24"/>
          <w:szCs w:val="24"/>
        </w:rPr>
        <w:t xml:space="preserve"> xx/xx/ 20</w:t>
      </w:r>
      <w:r>
        <w:rPr>
          <w:rFonts w:ascii="Arial" w:hAnsi="Arial" w:cs="Arial"/>
          <w:b/>
          <w:color w:val="231F1F"/>
          <w:sz w:val="24"/>
          <w:szCs w:val="24"/>
        </w:rPr>
        <w:t>20</w:t>
      </w:r>
    </w:p>
    <w:p w:rsidR="004E557E" w:rsidRPr="002F6E29" w:rsidRDefault="004E557E" w:rsidP="004E557E">
      <w:pPr>
        <w:spacing w:before="120" w:after="120"/>
        <w:jc w:val="both"/>
        <w:rPr>
          <w:rFonts w:ascii="Arial" w:hAnsi="Arial" w:cs="Arial"/>
          <w:color w:val="231F1F"/>
          <w:sz w:val="24"/>
          <w:szCs w:val="24"/>
        </w:rPr>
      </w:pPr>
      <w:proofErr w:type="gramStart"/>
      <w:r w:rsidRPr="002F6E29">
        <w:rPr>
          <w:rFonts w:ascii="Arial" w:hAnsi="Arial" w:cs="Arial"/>
          <w:b/>
          <w:color w:val="231F1F"/>
          <w:sz w:val="24"/>
          <w:szCs w:val="24"/>
        </w:rPr>
        <w:t>établissant</w:t>
      </w:r>
      <w:proofErr w:type="gramEnd"/>
      <w:r w:rsidRPr="002F6E29">
        <w:rPr>
          <w:rFonts w:ascii="Arial" w:hAnsi="Arial" w:cs="Arial"/>
          <w:b/>
          <w:color w:val="231F1F"/>
          <w:sz w:val="24"/>
          <w:szCs w:val="24"/>
        </w:rPr>
        <w:t xml:space="preserve"> des règles d'application pour la certification de navigabilité et environnementale des aéronefs et produits, pièces et équipements associés</w:t>
      </w:r>
      <w:r w:rsidRPr="002F6E29">
        <w:rPr>
          <w:rFonts w:ascii="Arial" w:hAnsi="Arial" w:cs="Arial"/>
          <w:color w:val="231F1F"/>
          <w:sz w:val="24"/>
          <w:szCs w:val="24"/>
        </w:rPr>
        <w:t>,</w:t>
      </w:r>
    </w:p>
    <w:p w:rsidR="004E557E" w:rsidRPr="002F6E29" w:rsidRDefault="004E557E" w:rsidP="004E557E">
      <w:pPr>
        <w:spacing w:before="120" w:after="120"/>
        <w:rPr>
          <w:rFonts w:ascii="Arial" w:hAnsi="Arial" w:cs="Arial"/>
          <w:b/>
        </w:rPr>
      </w:pPr>
      <w:r w:rsidRPr="002F6E29">
        <w:rPr>
          <w:rFonts w:ascii="Arial" w:hAnsi="Arial" w:cs="Arial"/>
          <w:b/>
        </w:rPr>
        <w:t>LA COMMISSION DE LA CEMAC,</w:t>
      </w:r>
    </w:p>
    <w:p w:rsidR="004E557E" w:rsidRPr="002F6E29" w:rsidRDefault="004E557E" w:rsidP="00524438">
      <w:pPr>
        <w:spacing w:before="120" w:after="120"/>
        <w:rPr>
          <w:rFonts w:ascii="Arial" w:hAnsi="Arial" w:cs="Arial"/>
        </w:rPr>
      </w:pPr>
      <w:r w:rsidRPr="002F6E29">
        <w:rPr>
          <w:rFonts w:ascii="Arial" w:hAnsi="Arial" w:cs="Arial"/>
        </w:rPr>
        <w:t>Vu le traité révisé de la Communauté Economique et Monétaire de l’Afrique Centrale (CEMAC) du 30 janvier 2009 ;</w:t>
      </w:r>
    </w:p>
    <w:p w:rsidR="004E557E" w:rsidRPr="002F6E29" w:rsidRDefault="004E557E" w:rsidP="00524438">
      <w:pPr>
        <w:spacing w:before="120" w:after="120"/>
        <w:rPr>
          <w:rFonts w:ascii="Arial" w:hAnsi="Arial" w:cs="Arial"/>
        </w:rPr>
      </w:pPr>
      <w:r w:rsidRPr="002F6E29">
        <w:rPr>
          <w:rFonts w:ascii="Arial" w:hAnsi="Arial" w:cs="Arial"/>
        </w:rPr>
        <w:t>Vu la Convention de Chicago du 07 décembre 1944, relative à l’Aviation Civile Internationale ;</w:t>
      </w:r>
    </w:p>
    <w:p w:rsidR="004E557E" w:rsidRPr="002F6E29" w:rsidRDefault="004E557E" w:rsidP="00524438">
      <w:pPr>
        <w:spacing w:before="120" w:after="120"/>
        <w:rPr>
          <w:rFonts w:ascii="Arial" w:hAnsi="Arial" w:cs="Arial"/>
        </w:rPr>
      </w:pPr>
      <w:r w:rsidRPr="002F6E29">
        <w:rPr>
          <w:rFonts w:ascii="Arial" w:hAnsi="Arial" w:cs="Arial"/>
        </w:rPr>
        <w:t>Vu le Règlement N°XXXX/20-CC-ASSA-AC-CM-XX</w:t>
      </w:r>
      <w:r w:rsidRPr="002F6E29">
        <w:rPr>
          <w:rFonts w:ascii="Arial" w:hAnsi="Arial" w:cs="Arial"/>
          <w:color w:val="FF0000"/>
          <w:shd w:val="clear" w:color="auto" w:fill="FFFFFF" w:themeFill="background1"/>
        </w:rPr>
        <w:t xml:space="preserve"> (UE) 2018/1139 </w:t>
      </w:r>
      <w:r w:rsidRPr="002F6E29">
        <w:rPr>
          <w:rFonts w:ascii="Arial" w:hAnsi="Arial" w:cs="Arial"/>
          <w:strike/>
          <w:highlight w:val="yellow"/>
        </w:rPr>
        <w:t>216/2008 du l’UE</w:t>
      </w:r>
      <w:r w:rsidRPr="002F6E29">
        <w:rPr>
          <w:rFonts w:ascii="Arial" w:hAnsi="Arial" w:cs="Arial"/>
        </w:rPr>
        <w:t xml:space="preserve"> Fixant les règles communes dans le domaine de l'aviation civile et réorganisant l’Agence pour la Supervision de la Sécurité Aérienne en Afrique Centrale (ASSA-AC) ;</w:t>
      </w:r>
    </w:p>
    <w:p w:rsidR="004E557E" w:rsidRPr="002F6E29" w:rsidRDefault="004E557E" w:rsidP="00524438">
      <w:pPr>
        <w:spacing w:before="120" w:after="120"/>
        <w:rPr>
          <w:rFonts w:ascii="Arial" w:hAnsi="Arial" w:cs="Arial"/>
        </w:rPr>
      </w:pPr>
      <w:r w:rsidRPr="002F6E29">
        <w:rPr>
          <w:rFonts w:ascii="Arial" w:hAnsi="Arial" w:cs="Arial"/>
        </w:rPr>
        <w:t>Vu la Convention régissant l’Union Economique et Monétaire de l’Afrique Centrale (UEAC</w:t>
      </w:r>
      <w:proofErr w:type="gramStart"/>
      <w:r w:rsidRPr="002F6E29">
        <w:rPr>
          <w:rFonts w:ascii="Arial" w:hAnsi="Arial" w:cs="Arial"/>
        </w:rPr>
        <w:t>);</w:t>
      </w:r>
      <w:proofErr w:type="gramEnd"/>
    </w:p>
    <w:p w:rsidR="004E557E" w:rsidRPr="002F6E29" w:rsidRDefault="004E557E" w:rsidP="00524438">
      <w:pPr>
        <w:spacing w:before="120" w:after="120"/>
        <w:rPr>
          <w:rFonts w:ascii="Arial" w:hAnsi="Arial" w:cs="Arial"/>
        </w:rPr>
      </w:pPr>
      <w:r w:rsidRPr="002F6E29">
        <w:rPr>
          <w:rFonts w:ascii="Arial" w:hAnsi="Arial" w:cs="Arial"/>
        </w:rPr>
        <w:t>Vu l’Acte additionnel 15/07/CEMAC-162- CCE-08 du 25 avril 2007 portant création d’une Agence de Supervision de la Sécurité Aérienne en Afrique Centrale (ASSA-AC), notamment en son article 3 ;</w:t>
      </w:r>
    </w:p>
    <w:p w:rsidR="004E557E" w:rsidRPr="002F6E29" w:rsidRDefault="004E557E" w:rsidP="00524438">
      <w:pPr>
        <w:spacing w:before="120" w:after="120"/>
        <w:rPr>
          <w:rFonts w:ascii="Arial" w:hAnsi="Arial" w:cs="Arial"/>
        </w:rPr>
      </w:pPr>
      <w:r w:rsidRPr="002F6E29">
        <w:rPr>
          <w:rFonts w:ascii="Arial" w:hAnsi="Arial" w:cs="Arial"/>
        </w:rPr>
        <w:t>Vu l’Acte additionnel 06/CEMAC-204-CCE-11 portant érection de l’ASSA-AC en Institution Spécialisée de l’UEAC du 25 juillet 2012</w:t>
      </w:r>
      <w:r>
        <w:rPr>
          <w:rFonts w:ascii="Arial" w:hAnsi="Arial" w:cs="Arial"/>
        </w:rPr>
        <w:t xml:space="preserve"> </w:t>
      </w:r>
      <w:r w:rsidRPr="002F6E29">
        <w:rPr>
          <w:rFonts w:ascii="Arial" w:hAnsi="Arial" w:cs="Arial"/>
        </w:rPr>
        <w:t>;</w:t>
      </w:r>
    </w:p>
    <w:p w:rsidR="004E557E" w:rsidRPr="002F6E29" w:rsidRDefault="004E557E" w:rsidP="00524438">
      <w:pPr>
        <w:spacing w:before="120" w:after="120"/>
        <w:rPr>
          <w:rFonts w:ascii="Arial" w:hAnsi="Arial" w:cs="Arial"/>
        </w:rPr>
      </w:pPr>
      <w:r w:rsidRPr="002F6E29">
        <w:rPr>
          <w:rFonts w:ascii="Arial" w:hAnsi="Arial" w:cs="Arial"/>
        </w:rPr>
        <w:t>Vu le Règlement 07/12-UEAC-066-CM-23 portant adoption du Code de l’Aviation Civile des Etats membres de la CEMAC du 22 juillet 2012 ;</w:t>
      </w:r>
    </w:p>
    <w:p w:rsidR="004E557E" w:rsidRPr="002F6E29" w:rsidRDefault="004E557E" w:rsidP="00524438">
      <w:pPr>
        <w:spacing w:before="120" w:after="120"/>
        <w:rPr>
          <w:rFonts w:ascii="Arial" w:hAnsi="Arial" w:cs="Arial"/>
        </w:rPr>
      </w:pPr>
      <w:r w:rsidRPr="002F6E29">
        <w:rPr>
          <w:rFonts w:ascii="Arial" w:hAnsi="Arial" w:cs="Arial"/>
        </w:rPr>
        <w:t>Vu la Résolution des Ministres des Transports de la CEMAC réunis en Comité Ad hoc à Brazzaville le 16 février 2012 ;</w:t>
      </w:r>
    </w:p>
    <w:p w:rsidR="004E557E" w:rsidRPr="002F6E29" w:rsidRDefault="004E557E" w:rsidP="00524438">
      <w:pPr>
        <w:spacing w:before="120" w:after="120"/>
        <w:jc w:val="both"/>
        <w:rPr>
          <w:rFonts w:ascii="Arial" w:hAnsi="Arial" w:cs="Arial"/>
        </w:rPr>
      </w:pPr>
      <w:proofErr w:type="gramStart"/>
      <w:r w:rsidRPr="002F6E29">
        <w:rPr>
          <w:rFonts w:ascii="Arial" w:hAnsi="Arial" w:cs="Arial"/>
        </w:rPr>
        <w:t>considérant</w:t>
      </w:r>
      <w:proofErr w:type="gramEnd"/>
      <w:r w:rsidRPr="002F6E29">
        <w:rPr>
          <w:rFonts w:ascii="Arial" w:hAnsi="Arial" w:cs="Arial"/>
        </w:rPr>
        <w:t xml:space="preserve"> ce qui suit :</w:t>
      </w:r>
    </w:p>
    <w:p w:rsidR="004E557E" w:rsidRPr="002640C0" w:rsidRDefault="004E557E" w:rsidP="00524438">
      <w:pPr>
        <w:spacing w:before="120" w:after="120"/>
        <w:jc w:val="both"/>
        <w:rPr>
          <w:rFonts w:ascii="Arial" w:hAnsi="Arial" w:cs="Arial"/>
          <w:color w:val="231F1F"/>
        </w:rPr>
      </w:pPr>
      <w:r w:rsidRPr="002640C0">
        <w:rPr>
          <w:rFonts w:ascii="Arial" w:hAnsi="Arial" w:cs="Arial"/>
          <w:color w:val="231F1F"/>
        </w:rPr>
        <w:t xml:space="preserve">Le règlement (CC) </w:t>
      </w:r>
      <w:r w:rsidRPr="002F6E29">
        <w:rPr>
          <w:rFonts w:ascii="Arial" w:hAnsi="Arial" w:cs="Arial"/>
        </w:rPr>
        <w:t>N°XXXX/20-CC-ASSA-AC-CM-XX</w:t>
      </w:r>
      <w:r w:rsidRPr="002F6E29">
        <w:rPr>
          <w:rFonts w:ascii="Arial" w:hAnsi="Arial" w:cs="Arial"/>
          <w:color w:val="FF0000"/>
          <w:shd w:val="clear" w:color="auto" w:fill="FFFFFF" w:themeFill="background1"/>
        </w:rPr>
        <w:t xml:space="preserve"> (UE) </w:t>
      </w:r>
      <w:r w:rsidRPr="002F6E29">
        <w:rPr>
          <w:rFonts w:ascii="Arial" w:hAnsi="Arial" w:cs="Arial"/>
          <w:color w:val="FF0000"/>
          <w:highlight w:val="yellow"/>
          <w:shd w:val="clear" w:color="auto" w:fill="FFFFFF" w:themeFill="background1"/>
        </w:rPr>
        <w:t>2018/1139</w:t>
      </w:r>
      <w:r w:rsidRPr="002640C0" w:rsidDel="00F92FF8">
        <w:rPr>
          <w:rFonts w:ascii="Arial" w:hAnsi="Arial" w:cs="Arial"/>
          <w:color w:val="231F1F"/>
        </w:rPr>
        <w:t xml:space="preserve"> </w:t>
      </w:r>
      <w:r w:rsidRPr="002640C0">
        <w:rPr>
          <w:rFonts w:ascii="Arial" w:hAnsi="Arial" w:cs="Arial"/>
          <w:color w:val="231F1F"/>
          <w:highlight w:val="yellow"/>
        </w:rPr>
        <w:t>(CE) no 216/2008</w:t>
      </w:r>
      <w:r w:rsidRPr="002640C0">
        <w:rPr>
          <w:rFonts w:ascii="Arial" w:hAnsi="Arial" w:cs="Arial"/>
          <w:color w:val="231F1F"/>
        </w:rPr>
        <w:t xml:space="preserve"> établit les conditions essentielles communes requises pour fournir un niveau homogène élevé de sécurité et de protection environnementale dans le domaine de l'aviation civile. Il implique l'adoption par la Commission de la CEMAC des règles de mise en œuvre nécessaires pour assurer leur application uniforme</w:t>
      </w:r>
      <w:r>
        <w:rPr>
          <w:rFonts w:ascii="Arial" w:hAnsi="Arial" w:cs="Arial"/>
          <w:color w:val="231F1F"/>
        </w:rPr>
        <w:t xml:space="preserve">. </w:t>
      </w:r>
      <w:r w:rsidRPr="002640C0">
        <w:rPr>
          <w:rFonts w:ascii="Arial" w:hAnsi="Arial" w:cs="Arial"/>
          <w:color w:val="231F1F"/>
        </w:rPr>
        <w:t>Il établit</w:t>
      </w:r>
      <w:proofErr w:type="gramStart"/>
      <w:r w:rsidRPr="002640C0">
        <w:rPr>
          <w:rFonts w:ascii="Arial" w:hAnsi="Arial" w:cs="Arial"/>
          <w:color w:val="231F1F"/>
        </w:rPr>
        <w:t xml:space="preserve"> «l'Agence</w:t>
      </w:r>
      <w:proofErr w:type="gramEnd"/>
      <w:r w:rsidRPr="002640C0">
        <w:rPr>
          <w:rFonts w:ascii="Arial" w:hAnsi="Arial" w:cs="Arial"/>
          <w:color w:val="231F1F"/>
        </w:rPr>
        <w:t xml:space="preserve"> de Supervision de la Sécurité Aérienne en Afrique Centrale» (ci-après «l'Agence») pour aider la Commission à développer ces règles de mise en œuvre.</w:t>
      </w:r>
    </w:p>
    <w:p w:rsidR="004E557E" w:rsidRPr="002640C0" w:rsidRDefault="004E557E" w:rsidP="00524438">
      <w:pPr>
        <w:spacing w:before="120" w:after="120"/>
        <w:jc w:val="both"/>
        <w:rPr>
          <w:rFonts w:ascii="Arial" w:hAnsi="Arial" w:cs="Arial"/>
          <w:color w:val="231F1F"/>
        </w:rPr>
      </w:pPr>
      <w:r w:rsidRPr="002640C0">
        <w:rPr>
          <w:rFonts w:ascii="Arial" w:hAnsi="Arial" w:cs="Arial"/>
          <w:color w:val="231F1F"/>
        </w:rPr>
        <w:t>Il est nécessaire d’établir des exigences techniques et des procédures administratives communes pour assurer la compatibilité en matière de navigabilité et d'environnement des produits aéronautiques, pièces et é</w:t>
      </w:r>
      <w:r w:rsidR="00524438">
        <w:rPr>
          <w:rFonts w:ascii="Arial" w:hAnsi="Arial" w:cs="Arial"/>
          <w:color w:val="231F1F"/>
        </w:rPr>
        <w:t>quipements, soumis au règlement</w:t>
      </w:r>
      <w:r w:rsidRPr="002640C0">
        <w:rPr>
          <w:rFonts w:ascii="Arial" w:hAnsi="Arial" w:cs="Arial"/>
          <w:color w:val="231F1F"/>
        </w:rPr>
        <w:t xml:space="preserve"> (CC) </w:t>
      </w:r>
      <w:r w:rsidRPr="002F6E29">
        <w:rPr>
          <w:rFonts w:ascii="Arial" w:hAnsi="Arial" w:cs="Arial"/>
        </w:rPr>
        <w:t>N°XXXX/20-CC-ASSA-AC-CM-XX</w:t>
      </w:r>
      <w:r w:rsidRPr="002F6E29">
        <w:rPr>
          <w:rFonts w:ascii="Arial" w:hAnsi="Arial" w:cs="Arial"/>
          <w:color w:val="FF0000"/>
          <w:shd w:val="clear" w:color="auto" w:fill="FFFFFF" w:themeFill="background1"/>
        </w:rPr>
        <w:t xml:space="preserve"> (UE) </w:t>
      </w:r>
      <w:r w:rsidRPr="002F6E29">
        <w:rPr>
          <w:rFonts w:ascii="Arial" w:hAnsi="Arial" w:cs="Arial"/>
          <w:color w:val="FF0000"/>
          <w:highlight w:val="yellow"/>
          <w:shd w:val="clear" w:color="auto" w:fill="FFFFFF" w:themeFill="background1"/>
        </w:rPr>
        <w:t>2018/1139</w:t>
      </w:r>
      <w:r w:rsidRPr="002640C0" w:rsidDel="00F92FF8">
        <w:rPr>
          <w:rFonts w:ascii="Arial" w:hAnsi="Arial" w:cs="Arial"/>
          <w:color w:val="231F1F"/>
        </w:rPr>
        <w:t xml:space="preserve"> </w:t>
      </w:r>
      <w:r w:rsidRPr="002640C0">
        <w:rPr>
          <w:rFonts w:ascii="Arial" w:hAnsi="Arial" w:cs="Arial"/>
          <w:color w:val="231F1F"/>
          <w:highlight w:val="yellow"/>
        </w:rPr>
        <w:t>(CE) N° 216/2008</w:t>
      </w:r>
      <w:r w:rsidRPr="002640C0">
        <w:rPr>
          <w:rFonts w:ascii="Arial" w:hAnsi="Arial" w:cs="Arial"/>
          <w:color w:val="231F1F"/>
        </w:rPr>
        <w:t>. Ces conditions et procédures devraient spécifier les conditions de délivrance, tenue à jour, modification, suspension ou retrait des certificats appropriés.</w:t>
      </w:r>
    </w:p>
    <w:p w:rsidR="004E557E" w:rsidRPr="002640C0" w:rsidRDefault="004E557E" w:rsidP="00524438">
      <w:pPr>
        <w:spacing w:before="120" w:after="120"/>
        <w:jc w:val="both"/>
        <w:rPr>
          <w:rFonts w:ascii="Arial" w:hAnsi="Arial" w:cs="Arial"/>
          <w:color w:val="231F1F"/>
        </w:rPr>
      </w:pPr>
      <w:r w:rsidRPr="002640C0">
        <w:rPr>
          <w:rFonts w:ascii="Arial" w:hAnsi="Arial" w:cs="Arial"/>
          <w:color w:val="231F1F"/>
        </w:rPr>
        <w:t>Lorsqu'elle établit des mesures relatives à la mise en œuvre de conditions essentielles communes dans le domaine de la navigabilité la Commission doit veiller à ce que ces mesures reflètent l'état actuel de la technique et les meilleures pratiques à, prendre en compte, l’expérience aéronautique internationale ainsi que les progrès scientifiques et techniques, et permettre une réaction immédiate aux causes établies d'accidents et d'incidents graves.</w:t>
      </w:r>
    </w:p>
    <w:p w:rsidR="004E557E" w:rsidRPr="002640C0" w:rsidRDefault="004E557E" w:rsidP="00524438">
      <w:pPr>
        <w:spacing w:before="120" w:after="120"/>
        <w:jc w:val="both"/>
        <w:rPr>
          <w:rFonts w:ascii="Arial" w:hAnsi="Arial" w:cs="Arial"/>
          <w:color w:val="231F1F"/>
        </w:rPr>
      </w:pPr>
      <w:r w:rsidRPr="002640C0">
        <w:rPr>
          <w:rFonts w:ascii="Arial" w:hAnsi="Arial" w:cs="Arial"/>
          <w:color w:val="231F1F"/>
        </w:rPr>
        <w:lastRenderedPageBreak/>
        <w:t>Le besoin d'assurer une certaine homogénéité dans l'application des exigences communes en matière de navigabilité et d'environnement concernant les produits, pièces et équipements aéronautiques, requiert des autorités compétentes des États membres et, le cas échéant, de l'Agence, de suivre des procédures communes afin d'évaluer la conformité à ces exigences.</w:t>
      </w:r>
    </w:p>
    <w:p w:rsidR="004E557E" w:rsidRPr="002640C0" w:rsidRDefault="004E557E" w:rsidP="00524438">
      <w:pPr>
        <w:spacing w:before="120" w:after="120"/>
        <w:jc w:val="both"/>
        <w:rPr>
          <w:rFonts w:ascii="Arial" w:hAnsi="Arial" w:cs="Arial"/>
          <w:color w:val="231F1F"/>
        </w:rPr>
      </w:pPr>
      <w:r w:rsidRPr="002640C0">
        <w:rPr>
          <w:rFonts w:ascii="Arial" w:hAnsi="Arial" w:cs="Arial"/>
          <w:color w:val="231F1F"/>
        </w:rPr>
        <w:t>Il est nécessaire de reconnaître le maintien de la validité des certificats délivrés avant l'entrée en vigueur du présent règlent.</w:t>
      </w:r>
    </w:p>
    <w:p w:rsidR="004E557E" w:rsidRPr="002640C0" w:rsidRDefault="004E557E" w:rsidP="00524438">
      <w:pPr>
        <w:widowControl w:val="0"/>
        <w:autoSpaceDE w:val="0"/>
        <w:autoSpaceDN w:val="0"/>
        <w:adjustRightInd w:val="0"/>
        <w:snapToGrid w:val="0"/>
        <w:spacing w:before="120" w:after="120"/>
        <w:jc w:val="both"/>
        <w:rPr>
          <w:rFonts w:ascii="Arial" w:hAnsi="Arial" w:cs="Arial"/>
          <w:color w:val="231F1F"/>
        </w:rPr>
      </w:pPr>
      <w:r w:rsidRPr="002640C0">
        <w:rPr>
          <w:rFonts w:ascii="Arial" w:hAnsi="Arial" w:cs="Arial"/>
          <w:color w:val="231F1F"/>
        </w:rPr>
        <w:t>Afin de maintenir un niveau uniforme élevé de sécurité de l’aviation civile en Afrique Centrale, il convient de signaler les modifications qui ont été apportées aux exigences et procédures de certification des aéronefs et des produits, pièces et équipements associés, et des organismes de conception et de production, notamment de manière à préciser les règles suivies ayant démontrées la conformité à la base de certification de type et aux exigences de protection de l'environnement.</w:t>
      </w:r>
    </w:p>
    <w:p w:rsidR="004E557E" w:rsidRPr="002640C0" w:rsidRDefault="004E557E" w:rsidP="00524438">
      <w:pPr>
        <w:spacing w:before="120" w:after="120"/>
        <w:jc w:val="both"/>
        <w:rPr>
          <w:rFonts w:ascii="Arial" w:hAnsi="Arial" w:cs="Arial"/>
          <w:color w:val="231F1F"/>
        </w:rPr>
      </w:pPr>
      <w:r w:rsidRPr="002640C0">
        <w:rPr>
          <w:rFonts w:ascii="Arial" w:hAnsi="Arial" w:cs="Arial"/>
          <w:color w:val="231F1F"/>
        </w:rPr>
        <w:t>Le concept et la complexité des groupes auxiliaires de puissance (APU) ressemblent à ceux des moteurs d'aéronef et, dans certains cas, la conception des APU est même inspirée de celle des moteurs. Par conséquent, il est nécessaire de modifier les dispositions régissant les réparations à apporter aux APU pour rétablir la cohérence avec les modalités de réparation des moteurs.</w:t>
      </w:r>
    </w:p>
    <w:p w:rsidR="004E557E" w:rsidRPr="002640C0" w:rsidRDefault="004E557E" w:rsidP="00524438">
      <w:pPr>
        <w:spacing w:before="120" w:after="120"/>
        <w:jc w:val="both"/>
        <w:rPr>
          <w:rFonts w:ascii="Arial" w:hAnsi="Arial" w:cs="Arial"/>
          <w:color w:val="231F1F"/>
        </w:rPr>
      </w:pPr>
      <w:r w:rsidRPr="002640C0">
        <w:rPr>
          <w:rFonts w:ascii="Arial" w:hAnsi="Arial" w:cs="Arial"/>
          <w:color w:val="231F1F"/>
        </w:rPr>
        <w:t xml:space="preserve">Afin que les aéronefs à motorisation non complexe, les aéronefs de tourisme et les produits, pièces et équipements associés soient </w:t>
      </w:r>
      <w:r>
        <w:rPr>
          <w:rFonts w:ascii="Arial" w:hAnsi="Arial" w:cs="Arial"/>
          <w:color w:val="231F1F"/>
        </w:rPr>
        <w:t>soumis à des mesures proportion</w:t>
      </w:r>
      <w:r w:rsidRPr="002640C0">
        <w:rPr>
          <w:rFonts w:ascii="Arial" w:hAnsi="Arial" w:cs="Arial"/>
          <w:color w:val="231F1F"/>
        </w:rPr>
        <w:t>nées à la simplicité de leur conception et de leur fonctionnement, tout en maintenant un niveau uniforme élevé de sécurité aérienne en Afrique Centrale, il est nécessaire de signaler les modifications qui ont été apportées aux exigences et procédures de certification de ces aéronefs et des produits, pièces et équipements associés ainsi que des organismes de conception et de production et notamment d'introduire, pour les propriétaires d'aéronefs légers africains d'une masse inférieure à 2 000 kg (ALA2) ou à 1 200 kg (ALA1), la possibilité d'accepter que certaines pièces non critiques du point de vue de la sécurité soient installées sans formulaire 1 de l'ASSA-AC.</w:t>
      </w:r>
    </w:p>
    <w:p w:rsidR="004E557E" w:rsidRPr="002F6E29" w:rsidRDefault="004E557E" w:rsidP="00524438">
      <w:pPr>
        <w:spacing w:before="120" w:after="120"/>
        <w:jc w:val="both"/>
        <w:rPr>
          <w:rFonts w:ascii="Arial" w:hAnsi="Arial" w:cs="Arial"/>
        </w:rPr>
      </w:pPr>
      <w:r w:rsidRPr="00CC2561">
        <w:rPr>
          <w:rFonts w:ascii="Arial" w:hAnsi="Arial" w:cs="Arial"/>
          <w:color w:val="231F1F"/>
        </w:rPr>
        <w:t xml:space="preserve">Conformément à l'article 24, </w:t>
      </w:r>
      <w:r w:rsidRPr="002F6E29">
        <w:rPr>
          <w:rFonts w:ascii="Arial" w:hAnsi="Arial" w:cs="Arial"/>
          <w:color w:val="231F1F"/>
          <w:highlight w:val="yellow"/>
        </w:rPr>
        <w:t>19</w:t>
      </w:r>
      <w:r>
        <w:rPr>
          <w:rFonts w:ascii="Arial" w:hAnsi="Arial" w:cs="Arial"/>
          <w:color w:val="231F1F"/>
        </w:rPr>
        <w:t xml:space="preserve"> </w:t>
      </w:r>
      <w:r w:rsidRPr="00CC2561">
        <w:rPr>
          <w:rFonts w:ascii="Arial" w:hAnsi="Arial" w:cs="Arial"/>
          <w:color w:val="231F1F"/>
        </w:rPr>
        <w:t xml:space="preserve">paragraphe 1, du règlement (CC) </w:t>
      </w:r>
      <w:r w:rsidRPr="002F6E29">
        <w:rPr>
          <w:rFonts w:ascii="Arial" w:hAnsi="Arial" w:cs="Arial"/>
        </w:rPr>
        <w:t>N°XXXX/20-CC-ASSA-AC-CM-XX</w:t>
      </w:r>
      <w:r w:rsidRPr="002F6E29">
        <w:rPr>
          <w:rFonts w:ascii="Arial" w:hAnsi="Arial" w:cs="Arial"/>
          <w:color w:val="FF0000"/>
          <w:shd w:val="clear" w:color="auto" w:fill="FFFFFF" w:themeFill="background1"/>
        </w:rPr>
        <w:t xml:space="preserve"> (UE) </w:t>
      </w:r>
      <w:r w:rsidRPr="002F6E29">
        <w:rPr>
          <w:rFonts w:ascii="Arial" w:hAnsi="Arial" w:cs="Arial"/>
          <w:color w:val="FF0000"/>
          <w:highlight w:val="yellow"/>
          <w:shd w:val="clear" w:color="auto" w:fill="FFFFFF" w:themeFill="background1"/>
        </w:rPr>
        <w:t>2018/1139</w:t>
      </w:r>
      <w:r w:rsidRPr="00CC2561" w:rsidDel="002D39DB">
        <w:rPr>
          <w:rFonts w:ascii="Arial" w:hAnsi="Arial" w:cs="Arial"/>
          <w:color w:val="231F1F"/>
        </w:rPr>
        <w:t xml:space="preserve"> </w:t>
      </w:r>
      <w:r w:rsidRPr="00CC2561">
        <w:rPr>
          <w:rFonts w:ascii="Arial" w:hAnsi="Arial" w:cs="Arial"/>
          <w:color w:val="231F1F"/>
        </w:rPr>
        <w:t xml:space="preserve">(CE) </w:t>
      </w:r>
      <w:r w:rsidRPr="002F6E29">
        <w:rPr>
          <w:rFonts w:ascii="Arial" w:hAnsi="Arial" w:cs="Arial"/>
          <w:color w:val="231F1F"/>
          <w:highlight w:val="yellow"/>
        </w:rPr>
        <w:t>no 216/2008</w:t>
      </w:r>
      <w:r w:rsidRPr="00CC2561">
        <w:rPr>
          <w:rFonts w:ascii="Arial" w:hAnsi="Arial" w:cs="Arial"/>
          <w:color w:val="231F1F"/>
        </w:rPr>
        <w:t xml:space="preserve">, l'Agence élabore </w:t>
      </w:r>
      <w:proofErr w:type="gramStart"/>
      <w:r w:rsidRPr="00CC2561">
        <w:rPr>
          <w:rFonts w:ascii="Arial" w:hAnsi="Arial" w:cs="Arial"/>
          <w:color w:val="231F1F"/>
        </w:rPr>
        <w:t>des projet</w:t>
      </w:r>
      <w:proofErr w:type="gramEnd"/>
      <w:r w:rsidRPr="00CC2561">
        <w:rPr>
          <w:rFonts w:ascii="Arial" w:hAnsi="Arial" w:cs="Arial"/>
          <w:color w:val="231F1F"/>
        </w:rPr>
        <w:t xml:space="preserve"> de règles d'application </w:t>
      </w:r>
      <w:r w:rsidRPr="002F6E29">
        <w:rPr>
          <w:rFonts w:ascii="Arial" w:hAnsi="Arial" w:cs="Arial"/>
        </w:rPr>
        <w:t>afin d'assister la Commission dans la préparation de propositions concernant les principes fondamentaux, l'applicabilité et les exigences essentielles à présenter au Conseil des Ministres et dans l'adoption des règles de mise en œuvre. Ces projets sont présentés à la Commission par l'Agence sous la forme d'avis.</w:t>
      </w:r>
    </w:p>
    <w:p w:rsidR="004E557E" w:rsidRDefault="004E557E" w:rsidP="00524438">
      <w:pPr>
        <w:spacing w:before="120" w:after="120"/>
        <w:jc w:val="both"/>
        <w:rPr>
          <w:rFonts w:ascii="Arial" w:hAnsi="Arial" w:cs="Arial"/>
          <w:color w:val="231F1F"/>
        </w:rPr>
      </w:pPr>
      <w:r w:rsidRPr="002640C0">
        <w:rPr>
          <w:rFonts w:ascii="Arial" w:hAnsi="Arial" w:cs="Arial"/>
          <w:color w:val="231F1F"/>
        </w:rPr>
        <w:t xml:space="preserve">Les mesures prévues au présent règlement sont conformes à l'avis du comité établi par l'article 70 </w:t>
      </w:r>
      <w:proofErr w:type="gramStart"/>
      <w:r w:rsidRPr="002640C0">
        <w:rPr>
          <w:rFonts w:ascii="Arial" w:hAnsi="Arial" w:cs="Arial"/>
          <w:color w:val="231F1F"/>
          <w:highlight w:val="yellow"/>
        </w:rPr>
        <w:t xml:space="preserve">65 </w:t>
      </w:r>
      <w:r w:rsidRPr="002640C0">
        <w:rPr>
          <w:rFonts w:ascii="Arial" w:hAnsi="Arial" w:cs="Arial"/>
          <w:color w:val="231F1F"/>
        </w:rPr>
        <w:t xml:space="preserve"> paragraphe</w:t>
      </w:r>
      <w:proofErr w:type="gramEnd"/>
      <w:r w:rsidRPr="002640C0">
        <w:rPr>
          <w:rFonts w:ascii="Arial" w:hAnsi="Arial" w:cs="Arial"/>
          <w:color w:val="231F1F"/>
        </w:rPr>
        <w:t xml:space="preserve"> 1, du règlement (CC) </w:t>
      </w:r>
      <w:r w:rsidRPr="002F6E29">
        <w:rPr>
          <w:rFonts w:ascii="Arial" w:hAnsi="Arial" w:cs="Arial"/>
        </w:rPr>
        <w:t>N°XXXX/20-CC-ASSA-AC-CM-XX</w:t>
      </w:r>
      <w:r w:rsidRPr="002F6E29">
        <w:rPr>
          <w:rFonts w:ascii="Arial" w:hAnsi="Arial" w:cs="Arial"/>
          <w:color w:val="FF0000"/>
          <w:shd w:val="clear" w:color="auto" w:fill="FFFFFF" w:themeFill="background1"/>
        </w:rPr>
        <w:t xml:space="preserve"> </w:t>
      </w:r>
      <w:r w:rsidRPr="00524438">
        <w:rPr>
          <w:rFonts w:ascii="Arial" w:hAnsi="Arial" w:cs="Arial"/>
          <w:color w:val="FF0000"/>
          <w:highlight w:val="yellow"/>
          <w:shd w:val="clear" w:color="auto" w:fill="FFFFFF" w:themeFill="background1"/>
        </w:rPr>
        <w:t>(UE) 2018/1139</w:t>
      </w:r>
      <w:r>
        <w:rPr>
          <w:rFonts w:ascii="Arial" w:hAnsi="Arial" w:cs="Arial"/>
          <w:color w:val="FF0000"/>
          <w:shd w:val="clear" w:color="auto" w:fill="FFFFFF" w:themeFill="background1"/>
        </w:rPr>
        <w:t xml:space="preserve"> </w:t>
      </w:r>
      <w:r w:rsidRPr="002640C0">
        <w:rPr>
          <w:rFonts w:ascii="Arial" w:hAnsi="Arial" w:cs="Arial"/>
          <w:color w:val="231F1F"/>
          <w:highlight w:val="yellow"/>
        </w:rPr>
        <w:t>(CE) no 216/2008</w:t>
      </w:r>
      <w:r w:rsidRPr="002640C0">
        <w:rPr>
          <w:rFonts w:ascii="Arial" w:hAnsi="Arial" w:cs="Arial"/>
          <w:color w:val="231F1F"/>
        </w:rPr>
        <w:t>.</w:t>
      </w:r>
    </w:p>
    <w:p w:rsidR="004835AA" w:rsidRDefault="004835AA" w:rsidP="004835AA">
      <w:pPr>
        <w:spacing w:before="120" w:after="120"/>
        <w:jc w:val="both"/>
        <w:rPr>
          <w:rFonts w:ascii="Arial" w:hAnsi="Arial" w:cs="Arial"/>
          <w:b/>
        </w:rPr>
      </w:pPr>
    </w:p>
    <w:p w:rsidR="004E557E" w:rsidRDefault="004835AA" w:rsidP="004835AA">
      <w:pPr>
        <w:spacing w:before="120" w:after="120"/>
        <w:jc w:val="both"/>
        <w:rPr>
          <w:rFonts w:ascii="Arial" w:hAnsi="Arial" w:cs="Arial"/>
          <w:b/>
        </w:rPr>
      </w:pPr>
      <w:r w:rsidRPr="004835AA">
        <w:rPr>
          <w:rFonts w:ascii="Arial" w:hAnsi="Arial" w:cs="Arial"/>
          <w:b/>
        </w:rPr>
        <w:t xml:space="preserve">A ADOPTÉ </w:t>
      </w:r>
      <w:r>
        <w:rPr>
          <w:rFonts w:ascii="Arial" w:hAnsi="Arial" w:cs="Arial"/>
          <w:b/>
        </w:rPr>
        <w:t>LE PRÉSENT RÈGLEMENT COMPOSÉ DE L’ANNEXE CI-DESSOUS JOINTE</w:t>
      </w:r>
      <w:r w:rsidRPr="004835AA">
        <w:rPr>
          <w:rFonts w:ascii="Arial" w:hAnsi="Arial" w:cs="Arial"/>
          <w:b/>
        </w:rPr>
        <w:t xml:space="preserve"> ET DONT LA TENEUR SUIT</w:t>
      </w:r>
      <w:r>
        <w:rPr>
          <w:rFonts w:ascii="Arial" w:hAnsi="Arial" w:cs="Arial"/>
          <w:b/>
        </w:rPr>
        <w:t> :</w:t>
      </w:r>
    </w:p>
    <w:p w:rsidR="004835AA" w:rsidRDefault="004835AA" w:rsidP="004835AA">
      <w:pPr>
        <w:spacing w:before="120" w:after="120"/>
        <w:jc w:val="both"/>
        <w:rPr>
          <w:rFonts w:ascii="Arial" w:hAnsi="Arial" w:cs="Arial"/>
        </w:rPr>
      </w:pPr>
      <w:r w:rsidRPr="00395AB6">
        <w:rPr>
          <w:rFonts w:ascii="Arial" w:hAnsi="Arial" w:cs="Arial"/>
        </w:rPr>
        <w:t xml:space="preserve">ANNEXE I </w:t>
      </w:r>
      <w:r w:rsidR="00042209">
        <w:rPr>
          <w:rFonts w:ascii="Arial" w:hAnsi="Arial" w:cs="Arial"/>
        </w:rPr>
        <w:t>–</w:t>
      </w:r>
      <w:r>
        <w:rPr>
          <w:rFonts w:ascii="Arial" w:hAnsi="Arial" w:cs="Arial"/>
        </w:rPr>
        <w:t xml:space="preserve"> </w:t>
      </w:r>
      <w:r w:rsidR="00042209">
        <w:rPr>
          <w:rFonts w:ascii="Arial" w:hAnsi="Arial" w:cs="Arial"/>
        </w:rPr>
        <w:t xml:space="preserve">RÈGLEMENT </w:t>
      </w:r>
      <w:r w:rsidR="00042209">
        <w:rPr>
          <w:rFonts w:ascii="Arial" w:hAnsi="Arial" w:cs="Arial"/>
          <w:bCs/>
          <w:color w:val="000000"/>
        </w:rPr>
        <w:t>ÉTABLISSANT DES RÈ</w:t>
      </w:r>
      <w:r w:rsidRPr="004835AA">
        <w:rPr>
          <w:rFonts w:ascii="Arial" w:hAnsi="Arial" w:cs="Arial"/>
          <w:bCs/>
          <w:color w:val="000000"/>
        </w:rPr>
        <w:t xml:space="preserve">GLES D'APPLICATION POUR </w:t>
      </w:r>
      <w:r w:rsidR="00042209">
        <w:rPr>
          <w:rFonts w:ascii="Arial" w:hAnsi="Arial" w:cs="Arial"/>
          <w:bCs/>
          <w:color w:val="000000"/>
        </w:rPr>
        <w:t>LA CERTIFICATION DE NAVIGABILITÉ ET ENVIRONNEMENTALE DES AÉRONEFS ET PRODUITS, PIÈCES ET ÉQUIPEMENTS ASSOCIÉ</w:t>
      </w:r>
      <w:r w:rsidRPr="004835AA">
        <w:rPr>
          <w:rFonts w:ascii="Arial" w:hAnsi="Arial" w:cs="Arial"/>
          <w:bCs/>
          <w:color w:val="000000"/>
        </w:rPr>
        <w:t>S, AINSI QUE POUR LA CERTIFICATION DES ORGANISMES DE CONCEPTION ET DE PRODUCTION</w:t>
      </w:r>
    </w:p>
    <w:p w:rsidR="004835AA" w:rsidRDefault="004835AA" w:rsidP="004E557E">
      <w:pPr>
        <w:spacing w:before="120" w:after="120" w:line="360" w:lineRule="auto"/>
        <w:jc w:val="center"/>
        <w:rPr>
          <w:rFonts w:ascii="Arial" w:hAnsi="Arial" w:cs="Arial"/>
          <w:b/>
          <w:i/>
          <w:color w:val="231F1F"/>
          <w:sz w:val="24"/>
          <w:szCs w:val="24"/>
        </w:rPr>
      </w:pPr>
    </w:p>
    <w:p w:rsidR="004E557E" w:rsidRPr="000159DF" w:rsidRDefault="004E557E" w:rsidP="004E557E">
      <w:pPr>
        <w:spacing w:before="120" w:after="120" w:line="360" w:lineRule="auto"/>
        <w:jc w:val="center"/>
        <w:rPr>
          <w:rFonts w:ascii="Arial" w:hAnsi="Arial" w:cs="Arial"/>
          <w:b/>
          <w:color w:val="231F1F"/>
          <w:sz w:val="24"/>
          <w:szCs w:val="24"/>
        </w:rPr>
      </w:pPr>
      <w:r w:rsidRPr="000159DF">
        <w:rPr>
          <w:rFonts w:ascii="Arial" w:hAnsi="Arial" w:cs="Arial"/>
          <w:b/>
          <w:i/>
          <w:color w:val="231F1F"/>
          <w:sz w:val="24"/>
          <w:szCs w:val="24"/>
        </w:rPr>
        <w:lastRenderedPageBreak/>
        <w:t>Article premier</w:t>
      </w:r>
      <w:r w:rsidR="000159DF" w:rsidRPr="000159DF">
        <w:rPr>
          <w:rFonts w:ascii="Arial" w:hAnsi="Arial" w:cs="Arial"/>
          <w:b/>
          <w:i/>
          <w:color w:val="231F1F"/>
          <w:sz w:val="24"/>
          <w:szCs w:val="24"/>
        </w:rPr>
        <w:t xml:space="preserve"> - </w:t>
      </w:r>
      <w:r w:rsidRPr="000159DF">
        <w:rPr>
          <w:rFonts w:ascii="Arial" w:hAnsi="Arial" w:cs="Arial"/>
          <w:b/>
          <w:color w:val="231F1F"/>
          <w:sz w:val="24"/>
          <w:szCs w:val="24"/>
        </w:rPr>
        <w:t>Champ d'application et définitions</w:t>
      </w:r>
    </w:p>
    <w:p w:rsidR="004E557E" w:rsidRPr="002640C0" w:rsidRDefault="004E557E" w:rsidP="00524438">
      <w:pPr>
        <w:pStyle w:val="Paragraphedeliste"/>
        <w:numPr>
          <w:ilvl w:val="0"/>
          <w:numId w:val="1"/>
        </w:numPr>
        <w:spacing w:before="120" w:after="120"/>
        <w:jc w:val="both"/>
      </w:pPr>
      <w:r w:rsidRPr="002640C0">
        <w:rPr>
          <w:rFonts w:ascii="Arial" w:hAnsi="Arial" w:cs="Arial"/>
          <w:color w:val="231F1F"/>
        </w:rPr>
        <w:t xml:space="preserve">Conformément à l'article 6 </w:t>
      </w:r>
      <w:r w:rsidRPr="002640C0">
        <w:rPr>
          <w:rFonts w:ascii="Arial" w:hAnsi="Arial" w:cs="Arial"/>
          <w:color w:val="231F1F"/>
          <w:highlight w:val="yellow"/>
        </w:rPr>
        <w:t>5, paragraphe</w:t>
      </w:r>
      <w:r w:rsidRPr="002640C0">
        <w:rPr>
          <w:rFonts w:ascii="Arial" w:hAnsi="Arial" w:cs="Arial"/>
          <w:color w:val="231F1F"/>
        </w:rPr>
        <w:t xml:space="preserve"> 5 </w:t>
      </w:r>
      <w:r w:rsidRPr="002640C0">
        <w:rPr>
          <w:rFonts w:ascii="Arial" w:hAnsi="Arial" w:cs="Arial"/>
          <w:color w:val="231F1F"/>
          <w:highlight w:val="yellow"/>
        </w:rPr>
        <w:t>5</w:t>
      </w:r>
      <w:r w:rsidRPr="002640C0">
        <w:rPr>
          <w:rFonts w:ascii="Arial" w:hAnsi="Arial" w:cs="Arial"/>
          <w:color w:val="231F1F"/>
        </w:rPr>
        <w:t xml:space="preserve">, et à l'article 7 </w:t>
      </w:r>
      <w:r w:rsidRPr="002640C0">
        <w:rPr>
          <w:rFonts w:ascii="Arial" w:hAnsi="Arial" w:cs="Arial"/>
          <w:color w:val="231F1F"/>
          <w:highlight w:val="yellow"/>
        </w:rPr>
        <w:t>6</w:t>
      </w:r>
      <w:r w:rsidRPr="002640C0">
        <w:rPr>
          <w:rFonts w:ascii="Arial" w:hAnsi="Arial" w:cs="Arial"/>
          <w:color w:val="231F1F"/>
        </w:rPr>
        <w:t xml:space="preserve"> paragraphe 3, du règlement (CC) </w:t>
      </w:r>
      <w:r w:rsidR="00524438" w:rsidRPr="002F6E29">
        <w:rPr>
          <w:rFonts w:ascii="Arial" w:hAnsi="Arial" w:cs="Arial"/>
        </w:rPr>
        <w:t>N°XXXX/20-CC-ASSA-AC-CM-XX</w:t>
      </w:r>
      <w:r w:rsidR="00524438" w:rsidRPr="002F6E29">
        <w:rPr>
          <w:rFonts w:ascii="Arial" w:hAnsi="Arial" w:cs="Arial"/>
          <w:color w:val="FF0000"/>
          <w:shd w:val="clear" w:color="auto" w:fill="FFFFFF" w:themeFill="background1"/>
        </w:rPr>
        <w:t xml:space="preserve"> </w:t>
      </w:r>
      <w:r w:rsidR="00524438" w:rsidRPr="00524438">
        <w:rPr>
          <w:rFonts w:ascii="Arial" w:hAnsi="Arial" w:cs="Arial"/>
          <w:color w:val="FF0000"/>
          <w:highlight w:val="yellow"/>
          <w:shd w:val="clear" w:color="auto" w:fill="FFFFFF" w:themeFill="background1"/>
        </w:rPr>
        <w:t>(UE) 2018/1139</w:t>
      </w:r>
      <w:r w:rsidR="00524438">
        <w:rPr>
          <w:rFonts w:ascii="Arial" w:hAnsi="Arial" w:cs="Arial"/>
          <w:color w:val="FF0000"/>
          <w:shd w:val="clear" w:color="auto" w:fill="FFFFFF" w:themeFill="background1"/>
        </w:rPr>
        <w:t xml:space="preserve"> </w:t>
      </w:r>
      <w:r w:rsidRPr="002640C0">
        <w:rPr>
          <w:rFonts w:ascii="Arial" w:hAnsi="Arial" w:cs="Arial"/>
          <w:color w:val="231F1F"/>
          <w:highlight w:val="yellow"/>
        </w:rPr>
        <w:t>CE) no 216/2008</w:t>
      </w:r>
      <w:r w:rsidRPr="002640C0">
        <w:rPr>
          <w:rFonts w:ascii="Arial" w:hAnsi="Arial" w:cs="Arial"/>
          <w:color w:val="231F1F"/>
        </w:rPr>
        <w:t xml:space="preserve">, le présent règlement fixe les exigences techniques communes et les procédures administratives afférentes à l’acceptation de la certification, en matière de navigabilité et d'environnement, des produits, pièces et équipements, et spécifie les conditions </w:t>
      </w:r>
      <w:proofErr w:type="gramStart"/>
      <w:r w:rsidRPr="002640C0">
        <w:rPr>
          <w:rFonts w:ascii="Arial" w:hAnsi="Arial" w:cs="Arial"/>
          <w:color w:val="231F1F"/>
        </w:rPr>
        <w:t>de:</w:t>
      </w:r>
      <w:proofErr w:type="gramEnd"/>
    </w:p>
    <w:p w:rsidR="004E557E" w:rsidRPr="002640C0" w:rsidRDefault="004E557E" w:rsidP="00524438">
      <w:pPr>
        <w:pStyle w:val="Paragraphedeliste"/>
        <w:numPr>
          <w:ilvl w:val="0"/>
          <w:numId w:val="14"/>
        </w:numPr>
        <w:spacing w:before="120" w:after="120"/>
        <w:jc w:val="both"/>
        <w:rPr>
          <w:rFonts w:ascii="Arial" w:hAnsi="Arial" w:cs="Arial"/>
          <w:color w:val="231F1F"/>
        </w:rPr>
      </w:pPr>
      <w:proofErr w:type="gramStart"/>
      <w:r w:rsidRPr="002640C0">
        <w:rPr>
          <w:rFonts w:ascii="Arial" w:hAnsi="Arial" w:cs="Arial"/>
          <w:color w:val="231F1F"/>
        </w:rPr>
        <w:t>l’acceptation</w:t>
      </w:r>
      <w:proofErr w:type="gramEnd"/>
      <w:r w:rsidRPr="002640C0">
        <w:rPr>
          <w:rFonts w:ascii="Arial" w:hAnsi="Arial" w:cs="Arial"/>
          <w:color w:val="231F1F"/>
        </w:rPr>
        <w:t xml:space="preserve"> des certificats de type, de certificats de type restreints et de certificats de type complémentaires, et les modifications apportées à ces certificats;</w:t>
      </w:r>
    </w:p>
    <w:p w:rsidR="004E557E" w:rsidRPr="002640C0" w:rsidRDefault="004E557E" w:rsidP="00524438">
      <w:pPr>
        <w:pStyle w:val="Paragraphedeliste"/>
        <w:numPr>
          <w:ilvl w:val="0"/>
          <w:numId w:val="14"/>
        </w:numPr>
        <w:spacing w:before="120" w:after="120"/>
        <w:jc w:val="both"/>
      </w:pPr>
      <w:proofErr w:type="gramStart"/>
      <w:r w:rsidRPr="002640C0">
        <w:rPr>
          <w:rFonts w:ascii="Arial" w:hAnsi="Arial" w:cs="Arial"/>
          <w:color w:val="231F1F"/>
        </w:rPr>
        <w:t>la</w:t>
      </w:r>
      <w:proofErr w:type="gramEnd"/>
      <w:r w:rsidRPr="002640C0">
        <w:rPr>
          <w:rFonts w:ascii="Arial" w:hAnsi="Arial" w:cs="Arial"/>
          <w:color w:val="231F1F"/>
        </w:rPr>
        <w:t xml:space="preserve"> délivrance de certificats de navigabilité, de certificats de navigabilité restreints, d'autorisations de vol et de certificats d'autorisation de mise en service;</w:t>
      </w:r>
    </w:p>
    <w:p w:rsidR="004E557E" w:rsidRPr="002640C0" w:rsidRDefault="004E557E" w:rsidP="00524438">
      <w:pPr>
        <w:pStyle w:val="Paragraphedeliste"/>
        <w:numPr>
          <w:ilvl w:val="0"/>
          <w:numId w:val="14"/>
        </w:numPr>
        <w:spacing w:before="120" w:after="120"/>
        <w:jc w:val="both"/>
      </w:pPr>
      <w:proofErr w:type="gramStart"/>
      <w:r w:rsidRPr="002640C0">
        <w:rPr>
          <w:rFonts w:ascii="Arial" w:hAnsi="Arial" w:cs="Arial"/>
          <w:color w:val="231F1F"/>
        </w:rPr>
        <w:t>l’approbation</w:t>
      </w:r>
      <w:proofErr w:type="gramEnd"/>
      <w:r w:rsidRPr="002640C0">
        <w:rPr>
          <w:rFonts w:ascii="Arial" w:hAnsi="Arial" w:cs="Arial"/>
          <w:color w:val="231F1F"/>
        </w:rPr>
        <w:t xml:space="preserve"> des réparations;</w:t>
      </w:r>
    </w:p>
    <w:p w:rsidR="004E557E" w:rsidRPr="002640C0" w:rsidRDefault="004E557E" w:rsidP="00524438">
      <w:pPr>
        <w:pStyle w:val="Paragraphedeliste"/>
        <w:numPr>
          <w:ilvl w:val="0"/>
          <w:numId w:val="14"/>
        </w:numPr>
        <w:spacing w:before="120" w:after="120"/>
        <w:jc w:val="both"/>
      </w:pPr>
      <w:proofErr w:type="gramStart"/>
      <w:r w:rsidRPr="002640C0">
        <w:rPr>
          <w:rFonts w:ascii="Arial" w:hAnsi="Arial" w:cs="Arial"/>
          <w:color w:val="231F1F"/>
        </w:rPr>
        <w:t>la</w:t>
      </w:r>
      <w:proofErr w:type="gramEnd"/>
      <w:r w:rsidRPr="002640C0">
        <w:rPr>
          <w:rFonts w:ascii="Arial" w:hAnsi="Arial" w:cs="Arial"/>
          <w:color w:val="231F1F"/>
        </w:rPr>
        <w:t xml:space="preserve"> délivrance des certificats acoustiques</w:t>
      </w:r>
      <w:r>
        <w:rPr>
          <w:rFonts w:ascii="Arial" w:hAnsi="Arial" w:cs="Arial"/>
          <w:color w:val="231F1F"/>
        </w:rPr>
        <w:t>;</w:t>
      </w:r>
    </w:p>
    <w:p w:rsidR="004E557E" w:rsidRPr="002640C0" w:rsidRDefault="004E557E" w:rsidP="00524438">
      <w:pPr>
        <w:pStyle w:val="Paragraphedeliste"/>
        <w:numPr>
          <w:ilvl w:val="0"/>
          <w:numId w:val="14"/>
        </w:numPr>
        <w:spacing w:before="120" w:after="120"/>
        <w:jc w:val="both"/>
      </w:pPr>
      <w:proofErr w:type="gramStart"/>
      <w:r w:rsidRPr="002640C0">
        <w:rPr>
          <w:rFonts w:ascii="Arial" w:hAnsi="Arial" w:cs="Arial"/>
          <w:color w:val="231F1F"/>
        </w:rPr>
        <w:t>l’acceptation</w:t>
      </w:r>
      <w:proofErr w:type="gramEnd"/>
      <w:r w:rsidRPr="002640C0">
        <w:rPr>
          <w:rFonts w:ascii="Arial" w:hAnsi="Arial" w:cs="Arial"/>
          <w:color w:val="231F1F"/>
        </w:rPr>
        <w:t xml:space="preserve"> de la certification de certaines pièces et de certains équipements;</w:t>
      </w:r>
    </w:p>
    <w:p w:rsidR="004E557E" w:rsidRPr="002640C0" w:rsidRDefault="004E557E" w:rsidP="00524438">
      <w:pPr>
        <w:pStyle w:val="Paragraphedeliste"/>
        <w:numPr>
          <w:ilvl w:val="0"/>
          <w:numId w:val="14"/>
        </w:numPr>
        <w:spacing w:before="120" w:after="120"/>
        <w:jc w:val="both"/>
      </w:pPr>
      <w:proofErr w:type="gramStart"/>
      <w:r w:rsidRPr="002640C0">
        <w:rPr>
          <w:rFonts w:ascii="Arial" w:hAnsi="Arial" w:cs="Arial"/>
          <w:color w:val="231F1F"/>
        </w:rPr>
        <w:t>la</w:t>
      </w:r>
      <w:proofErr w:type="gramEnd"/>
      <w:r w:rsidRPr="002640C0">
        <w:rPr>
          <w:rFonts w:ascii="Arial" w:hAnsi="Arial" w:cs="Arial"/>
          <w:color w:val="231F1F"/>
        </w:rPr>
        <w:t xml:space="preserve"> délivrance des consignes spécifiques de navigabilité</w:t>
      </w:r>
      <w:r>
        <w:rPr>
          <w:rFonts w:ascii="Arial" w:hAnsi="Arial" w:cs="Arial"/>
          <w:color w:val="231F1F"/>
        </w:rPr>
        <w:t> ;</w:t>
      </w:r>
      <w:r w:rsidRPr="002640C0">
        <w:rPr>
          <w:rFonts w:ascii="Arial" w:hAnsi="Arial" w:cs="Arial"/>
          <w:color w:val="231F1F"/>
        </w:rPr>
        <w:t>;</w:t>
      </w:r>
    </w:p>
    <w:p w:rsidR="004E557E" w:rsidRPr="002640C0" w:rsidRDefault="004E557E" w:rsidP="00524438">
      <w:pPr>
        <w:pStyle w:val="Paragraphedeliste"/>
        <w:numPr>
          <w:ilvl w:val="0"/>
          <w:numId w:val="1"/>
        </w:numPr>
        <w:spacing w:before="120" w:after="120"/>
        <w:jc w:val="both"/>
        <w:rPr>
          <w:rFonts w:ascii="Arial" w:hAnsi="Arial" w:cs="Arial"/>
        </w:rPr>
      </w:pPr>
      <w:r w:rsidRPr="002640C0">
        <w:rPr>
          <w:rFonts w:ascii="Arial" w:hAnsi="Arial" w:cs="Arial"/>
          <w:color w:val="231F1F"/>
        </w:rPr>
        <w:t xml:space="preserve">Aux fins du présent règlement, les définitions suivantes </w:t>
      </w:r>
      <w:proofErr w:type="gramStart"/>
      <w:r w:rsidRPr="002640C0">
        <w:rPr>
          <w:rFonts w:ascii="Arial" w:hAnsi="Arial" w:cs="Arial"/>
          <w:color w:val="231F1F"/>
        </w:rPr>
        <w:t>s'appliquent:</w:t>
      </w:r>
      <w:proofErr w:type="gramEnd"/>
    </w:p>
    <w:p w:rsidR="004E557E" w:rsidRPr="002F6E29" w:rsidRDefault="004E557E" w:rsidP="00524438">
      <w:pPr>
        <w:pStyle w:val="Paragraphedeliste"/>
        <w:numPr>
          <w:ilvl w:val="0"/>
          <w:numId w:val="15"/>
        </w:numPr>
        <w:spacing w:before="120" w:after="120"/>
        <w:jc w:val="both"/>
        <w:rPr>
          <w:i/>
        </w:rPr>
      </w:pPr>
      <w:proofErr w:type="gramStart"/>
      <w:r w:rsidRPr="002F6E29">
        <w:rPr>
          <w:rFonts w:ascii="Arial" w:hAnsi="Arial" w:cs="Arial"/>
          <w:i/>
          <w:color w:val="231F1F"/>
        </w:rPr>
        <w:t>«</w:t>
      </w:r>
      <w:r w:rsidRPr="002F6E29">
        <w:rPr>
          <w:rFonts w:ascii="Arial" w:hAnsi="Arial" w:cs="Arial"/>
          <w:b/>
          <w:i/>
          <w:color w:val="231F1F"/>
        </w:rPr>
        <w:t>Partie</w:t>
      </w:r>
      <w:proofErr w:type="gramEnd"/>
      <w:r w:rsidRPr="002F6E29">
        <w:rPr>
          <w:rFonts w:ascii="Arial" w:hAnsi="Arial" w:cs="Arial"/>
          <w:b/>
          <w:i/>
          <w:color w:val="231F1F"/>
        </w:rPr>
        <w:t xml:space="preserve"> 21»</w:t>
      </w:r>
      <w:r w:rsidRPr="002640C0">
        <w:rPr>
          <w:rFonts w:ascii="Arial" w:hAnsi="Arial" w:cs="Arial"/>
          <w:color w:val="231F1F"/>
        </w:rPr>
        <w:t xml:space="preserve"> comprend les exigences et procédures relatives à  l’acceptation de la certification des aéronefs et des produits associés, pièces et équipements, énoncées à l’annexe I </w:t>
      </w:r>
      <w:r w:rsidRPr="002F6E29">
        <w:rPr>
          <w:rFonts w:ascii="Arial" w:hAnsi="Arial" w:cs="Arial"/>
          <w:i/>
          <w:color w:val="231F1F"/>
        </w:rPr>
        <w:t>du présent règlement;</w:t>
      </w:r>
    </w:p>
    <w:p w:rsidR="004E557E" w:rsidRPr="002640C0" w:rsidRDefault="004E557E" w:rsidP="00524438">
      <w:pPr>
        <w:pStyle w:val="Paragraphedeliste"/>
        <w:numPr>
          <w:ilvl w:val="0"/>
          <w:numId w:val="15"/>
        </w:numPr>
        <w:spacing w:before="120" w:after="120"/>
        <w:jc w:val="both"/>
      </w:pPr>
      <w:proofErr w:type="gramStart"/>
      <w:r w:rsidRPr="002F6E29">
        <w:rPr>
          <w:rFonts w:ascii="Arial" w:hAnsi="Arial" w:cs="Arial"/>
          <w:b/>
          <w:i/>
          <w:color w:val="231F1F"/>
        </w:rPr>
        <w:t>«Partie</w:t>
      </w:r>
      <w:proofErr w:type="gramEnd"/>
      <w:r w:rsidRPr="002F6E29">
        <w:rPr>
          <w:rFonts w:ascii="Arial" w:hAnsi="Arial" w:cs="Arial"/>
          <w:b/>
          <w:i/>
          <w:color w:val="231F1F"/>
        </w:rPr>
        <w:t xml:space="preserve"> M»</w:t>
      </w:r>
      <w:r w:rsidRPr="002640C0">
        <w:rPr>
          <w:rFonts w:ascii="Arial" w:hAnsi="Arial" w:cs="Arial"/>
          <w:color w:val="231F1F"/>
        </w:rPr>
        <w:t xml:space="preserve"> comprend les exigences applicables en termes de maintien de la navigabilité et adoptées en vertu du règlement (CC) N°XXX/201X </w:t>
      </w:r>
      <w:r w:rsidRPr="002640C0">
        <w:rPr>
          <w:rFonts w:ascii="Arial" w:hAnsi="Arial" w:cs="Arial"/>
          <w:color w:val="231F1F"/>
          <w:highlight w:val="yellow"/>
        </w:rPr>
        <w:t>(CE) no 216/2008</w:t>
      </w:r>
      <w:r w:rsidRPr="002640C0">
        <w:rPr>
          <w:rFonts w:ascii="Arial" w:hAnsi="Arial" w:cs="Arial"/>
          <w:color w:val="231F1F"/>
        </w:rPr>
        <w:t>;</w:t>
      </w:r>
    </w:p>
    <w:p w:rsidR="004E557E" w:rsidRPr="002640C0" w:rsidRDefault="004E557E" w:rsidP="00524438">
      <w:pPr>
        <w:pStyle w:val="Paragraphedeliste"/>
        <w:numPr>
          <w:ilvl w:val="0"/>
          <w:numId w:val="15"/>
        </w:numPr>
        <w:spacing w:before="120" w:after="120"/>
        <w:jc w:val="both"/>
      </w:pPr>
      <w:proofErr w:type="gramStart"/>
      <w:r w:rsidRPr="002F6E29">
        <w:rPr>
          <w:rFonts w:ascii="Arial" w:hAnsi="Arial" w:cs="Arial"/>
          <w:b/>
          <w:i/>
          <w:color w:val="231F1F"/>
        </w:rPr>
        <w:t>«établissement</w:t>
      </w:r>
      <w:proofErr w:type="gramEnd"/>
      <w:r w:rsidRPr="002F6E29">
        <w:rPr>
          <w:rFonts w:ascii="Arial" w:hAnsi="Arial" w:cs="Arial"/>
          <w:b/>
          <w:i/>
          <w:color w:val="231F1F"/>
        </w:rPr>
        <w:t xml:space="preserve"> principal»</w:t>
      </w:r>
      <w:r w:rsidRPr="002640C0">
        <w:rPr>
          <w:rFonts w:ascii="Arial" w:hAnsi="Arial" w:cs="Arial"/>
          <w:color w:val="231F1F"/>
        </w:rPr>
        <w:t xml:space="preserve"> signifie l'administration centrale ou le siège statutaire de la société, où sont exercés les principales fonctions financières et le contrôle de l'exploitation des activités visées dans le présent règlement;</w:t>
      </w:r>
    </w:p>
    <w:p w:rsidR="004E557E" w:rsidRPr="002640C0" w:rsidRDefault="004E557E" w:rsidP="00524438">
      <w:pPr>
        <w:pStyle w:val="Paragraphedeliste"/>
        <w:numPr>
          <w:ilvl w:val="0"/>
          <w:numId w:val="15"/>
        </w:numPr>
        <w:spacing w:before="120" w:after="120"/>
        <w:jc w:val="both"/>
      </w:pPr>
      <w:proofErr w:type="gramStart"/>
      <w:r w:rsidRPr="002F6E29">
        <w:rPr>
          <w:rFonts w:ascii="Arial" w:hAnsi="Arial" w:cs="Arial"/>
          <w:b/>
          <w:i/>
          <w:color w:val="231F1F"/>
        </w:rPr>
        <w:t>«article</w:t>
      </w:r>
      <w:proofErr w:type="gramEnd"/>
      <w:r w:rsidRPr="002F6E29">
        <w:rPr>
          <w:rFonts w:ascii="Arial" w:hAnsi="Arial" w:cs="Arial"/>
          <w:b/>
          <w:i/>
          <w:color w:val="231F1F"/>
        </w:rPr>
        <w:t>»</w:t>
      </w:r>
      <w:r w:rsidRPr="002F6E29">
        <w:rPr>
          <w:rFonts w:ascii="Arial" w:hAnsi="Arial" w:cs="Arial"/>
          <w:b/>
          <w:color w:val="231F1F"/>
        </w:rPr>
        <w:t xml:space="preserve"> </w:t>
      </w:r>
      <w:r w:rsidRPr="002640C0">
        <w:rPr>
          <w:rFonts w:ascii="Arial" w:hAnsi="Arial" w:cs="Arial"/>
          <w:color w:val="231F1F"/>
        </w:rPr>
        <w:t>signifie toute pièce et tout équipement à utiliser sur   un aéronef civil ;</w:t>
      </w:r>
    </w:p>
    <w:p w:rsidR="004E557E" w:rsidRPr="002640C0" w:rsidRDefault="004E557E" w:rsidP="00524438">
      <w:pPr>
        <w:pStyle w:val="Paragraphedeliste"/>
        <w:numPr>
          <w:ilvl w:val="0"/>
          <w:numId w:val="15"/>
        </w:numPr>
        <w:spacing w:before="120" w:after="120"/>
        <w:jc w:val="both"/>
      </w:pPr>
      <w:proofErr w:type="gramStart"/>
      <w:r w:rsidRPr="002F6E29">
        <w:rPr>
          <w:rFonts w:ascii="Arial" w:hAnsi="Arial" w:cs="Arial"/>
          <w:b/>
          <w:color w:val="231F1F"/>
        </w:rPr>
        <w:t>«aéronef</w:t>
      </w:r>
      <w:proofErr w:type="gramEnd"/>
      <w:r w:rsidRPr="002F6E29">
        <w:rPr>
          <w:rFonts w:ascii="Arial" w:hAnsi="Arial" w:cs="Arial"/>
          <w:b/>
          <w:color w:val="231F1F"/>
        </w:rPr>
        <w:t xml:space="preserve"> </w:t>
      </w:r>
      <w:r w:rsidR="00524438">
        <w:rPr>
          <w:rFonts w:ascii="Arial" w:hAnsi="Arial" w:cs="Arial"/>
          <w:b/>
          <w:color w:val="231F1F"/>
        </w:rPr>
        <w:t>E</w:t>
      </w:r>
      <w:r w:rsidRPr="002F6E29">
        <w:rPr>
          <w:rFonts w:ascii="Arial" w:hAnsi="Arial" w:cs="Arial"/>
          <w:b/>
          <w:color w:val="231F1F"/>
        </w:rPr>
        <w:t>LA1»</w:t>
      </w:r>
      <w:r w:rsidRPr="002640C0">
        <w:rPr>
          <w:rFonts w:ascii="Arial" w:hAnsi="Arial" w:cs="Arial"/>
          <w:color w:val="231F1F"/>
        </w:rPr>
        <w:t xml:space="preserve"> signifie Light Aircraft (aéronef léger ) et renvoie aux aéronefs habités suivants:</w:t>
      </w:r>
    </w:p>
    <w:p w:rsidR="004E557E" w:rsidRPr="002640C0" w:rsidRDefault="004E557E" w:rsidP="00524438">
      <w:pPr>
        <w:pStyle w:val="Paragraphedeliste"/>
        <w:numPr>
          <w:ilvl w:val="0"/>
          <w:numId w:val="16"/>
        </w:numPr>
        <w:spacing w:before="120" w:after="120"/>
        <w:ind w:left="1134" w:hanging="425"/>
        <w:jc w:val="both"/>
      </w:pPr>
      <w:proofErr w:type="gramStart"/>
      <w:r w:rsidRPr="002640C0">
        <w:rPr>
          <w:rFonts w:ascii="Arial" w:hAnsi="Arial" w:cs="Arial"/>
          <w:color w:val="231F1F"/>
        </w:rPr>
        <w:t>un</w:t>
      </w:r>
      <w:proofErr w:type="gramEnd"/>
      <w:r w:rsidRPr="002640C0">
        <w:rPr>
          <w:rFonts w:ascii="Arial" w:hAnsi="Arial" w:cs="Arial"/>
          <w:color w:val="231F1F"/>
        </w:rPr>
        <w:t xml:space="preserve"> avion d'une masse maximale au décollage (MTOM) n'excédant pas 1200 kg, non classé comme aéronef à motorisation complexe;</w:t>
      </w:r>
    </w:p>
    <w:p w:rsidR="004E557E" w:rsidRPr="002640C0" w:rsidRDefault="004E557E" w:rsidP="00524438">
      <w:pPr>
        <w:pStyle w:val="Paragraphedeliste"/>
        <w:numPr>
          <w:ilvl w:val="0"/>
          <w:numId w:val="16"/>
        </w:numPr>
        <w:spacing w:before="120" w:after="120"/>
        <w:ind w:left="1134" w:hanging="425"/>
        <w:jc w:val="both"/>
      </w:pPr>
      <w:proofErr w:type="gramStart"/>
      <w:r w:rsidRPr="002640C0">
        <w:rPr>
          <w:rFonts w:ascii="Arial" w:hAnsi="Arial" w:cs="Arial"/>
          <w:color w:val="231F1F"/>
        </w:rPr>
        <w:t>un</w:t>
      </w:r>
      <w:proofErr w:type="gramEnd"/>
      <w:r w:rsidRPr="002640C0">
        <w:rPr>
          <w:rFonts w:ascii="Arial" w:hAnsi="Arial" w:cs="Arial"/>
          <w:color w:val="231F1F"/>
        </w:rPr>
        <w:t xml:space="preserve"> planeur ou moto planeur d'une MTOM n'excédant pas 1200 kg;</w:t>
      </w:r>
    </w:p>
    <w:p w:rsidR="004E557E" w:rsidRPr="002640C0" w:rsidRDefault="004E557E" w:rsidP="00524438">
      <w:pPr>
        <w:pStyle w:val="Paragraphedeliste"/>
        <w:numPr>
          <w:ilvl w:val="0"/>
          <w:numId w:val="16"/>
        </w:numPr>
        <w:spacing w:before="120" w:after="120"/>
        <w:ind w:left="1134" w:hanging="425"/>
        <w:jc w:val="both"/>
      </w:pPr>
      <w:proofErr w:type="gramStart"/>
      <w:r w:rsidRPr="002640C0">
        <w:rPr>
          <w:rFonts w:ascii="Arial" w:hAnsi="Arial" w:cs="Arial"/>
          <w:color w:val="231F1F"/>
        </w:rPr>
        <w:t>un</w:t>
      </w:r>
      <w:proofErr w:type="gramEnd"/>
      <w:r w:rsidRPr="002640C0">
        <w:rPr>
          <w:rFonts w:ascii="Arial" w:hAnsi="Arial" w:cs="Arial"/>
          <w:color w:val="231F1F"/>
        </w:rPr>
        <w:t xml:space="preserve"> ballon dont le volume maximal par construction des gaz de sustentation ou d'air chaud n'excède pas 3400 m</w:t>
      </w:r>
      <w:r w:rsidRPr="002640C0">
        <w:rPr>
          <w:rFonts w:ascii="Arial" w:hAnsi="Arial" w:cs="Arial"/>
          <w:color w:val="231F1F"/>
          <w:vertAlign w:val="superscript"/>
        </w:rPr>
        <w:t>3</w:t>
      </w:r>
      <w:r w:rsidRPr="002640C0">
        <w:rPr>
          <w:rFonts w:ascii="Arial" w:hAnsi="Arial" w:cs="Arial"/>
          <w:color w:val="231F1F"/>
        </w:rPr>
        <w:t xml:space="preserve"> pour les ballons à air chaud, 1050 m3 pour les ballons à gaz et 300 m</w:t>
      </w:r>
      <w:r w:rsidRPr="002640C0">
        <w:rPr>
          <w:rFonts w:ascii="Arial" w:hAnsi="Arial" w:cs="Arial"/>
          <w:color w:val="231F1F"/>
          <w:vertAlign w:val="superscript"/>
        </w:rPr>
        <w:t>3</w:t>
      </w:r>
      <w:r w:rsidRPr="002640C0">
        <w:rPr>
          <w:rFonts w:ascii="Arial" w:hAnsi="Arial" w:cs="Arial"/>
          <w:color w:val="231F1F"/>
        </w:rPr>
        <w:t xml:space="preserve"> pour les ballons à gaz captifs;</w:t>
      </w:r>
    </w:p>
    <w:p w:rsidR="004E557E" w:rsidRPr="002640C0" w:rsidRDefault="004E557E" w:rsidP="00524438">
      <w:pPr>
        <w:pStyle w:val="Paragraphedeliste"/>
        <w:numPr>
          <w:ilvl w:val="0"/>
          <w:numId w:val="16"/>
        </w:numPr>
        <w:spacing w:before="120" w:after="120"/>
        <w:ind w:left="1134" w:hanging="425"/>
        <w:jc w:val="both"/>
      </w:pPr>
      <w:proofErr w:type="gramStart"/>
      <w:r w:rsidRPr="002640C0">
        <w:rPr>
          <w:rFonts w:ascii="Arial" w:hAnsi="Arial" w:cs="Arial"/>
          <w:color w:val="231F1F"/>
        </w:rPr>
        <w:t>un</w:t>
      </w:r>
      <w:proofErr w:type="gramEnd"/>
      <w:r w:rsidRPr="002640C0">
        <w:rPr>
          <w:rFonts w:ascii="Arial" w:hAnsi="Arial" w:cs="Arial"/>
          <w:color w:val="231F1F"/>
        </w:rPr>
        <w:t xml:space="preserve"> dirigeable conçu pour un maximum de 4 occupants et dont le volume maximal par construction des gaz de sustentation ou d'air chaud n'excède pas 3 400 m</w:t>
      </w:r>
      <w:r w:rsidRPr="002640C0">
        <w:rPr>
          <w:rFonts w:ascii="Arial" w:hAnsi="Arial" w:cs="Arial"/>
          <w:color w:val="231F1F"/>
          <w:vertAlign w:val="superscript"/>
        </w:rPr>
        <w:t>3</w:t>
      </w:r>
      <w:r w:rsidRPr="002640C0">
        <w:rPr>
          <w:rFonts w:ascii="Arial" w:hAnsi="Arial" w:cs="Arial"/>
          <w:color w:val="231F1F"/>
        </w:rPr>
        <w:t xml:space="preserve"> pour les dirigeables à air chaud et 1000 m</w:t>
      </w:r>
      <w:r w:rsidRPr="002F6E29">
        <w:rPr>
          <w:rFonts w:ascii="Arial" w:hAnsi="Arial" w:cs="Arial"/>
          <w:color w:val="231F1F"/>
          <w:vertAlign w:val="superscript"/>
        </w:rPr>
        <w:t>3</w:t>
      </w:r>
      <w:r w:rsidRPr="002640C0">
        <w:rPr>
          <w:rFonts w:ascii="Arial" w:hAnsi="Arial" w:cs="Arial"/>
          <w:color w:val="231F1F"/>
        </w:rPr>
        <w:t xml:space="preserve"> pour les dirigeables à gaz;</w:t>
      </w:r>
    </w:p>
    <w:p w:rsidR="004E557E" w:rsidRPr="002640C0" w:rsidRDefault="004E557E" w:rsidP="00524438">
      <w:pPr>
        <w:pStyle w:val="Paragraphedeliste"/>
        <w:numPr>
          <w:ilvl w:val="0"/>
          <w:numId w:val="15"/>
        </w:numPr>
        <w:spacing w:before="120" w:after="120"/>
        <w:jc w:val="both"/>
      </w:pPr>
      <w:proofErr w:type="gramStart"/>
      <w:r w:rsidRPr="002640C0">
        <w:rPr>
          <w:rFonts w:ascii="Arial" w:hAnsi="Arial" w:cs="Arial"/>
          <w:color w:val="231F1F"/>
        </w:rPr>
        <w:t>«</w:t>
      </w:r>
      <w:r w:rsidRPr="00524438">
        <w:rPr>
          <w:rFonts w:ascii="Arial" w:hAnsi="Arial" w:cs="Arial"/>
          <w:b/>
          <w:color w:val="231F1F"/>
        </w:rPr>
        <w:t>aéronef</w:t>
      </w:r>
      <w:proofErr w:type="gramEnd"/>
      <w:r w:rsidRPr="00524438">
        <w:rPr>
          <w:rFonts w:ascii="Arial" w:hAnsi="Arial" w:cs="Arial"/>
          <w:b/>
          <w:color w:val="231F1F"/>
        </w:rPr>
        <w:t xml:space="preserve"> </w:t>
      </w:r>
      <w:r w:rsidR="00524438" w:rsidRPr="00524438">
        <w:rPr>
          <w:rFonts w:ascii="Arial" w:hAnsi="Arial" w:cs="Arial"/>
          <w:b/>
          <w:color w:val="231F1F"/>
        </w:rPr>
        <w:t>E</w:t>
      </w:r>
      <w:r w:rsidRPr="00524438">
        <w:rPr>
          <w:rFonts w:ascii="Arial" w:hAnsi="Arial" w:cs="Arial"/>
          <w:b/>
          <w:color w:val="231F1F"/>
        </w:rPr>
        <w:t>LA2</w:t>
      </w:r>
      <w:r w:rsidRPr="002640C0">
        <w:rPr>
          <w:rFonts w:ascii="Arial" w:hAnsi="Arial" w:cs="Arial"/>
          <w:color w:val="231F1F"/>
        </w:rPr>
        <w:t>» signifie Light Aircraft (aéronef léger) et renvoie aux aéronefs habités suivants:</w:t>
      </w:r>
    </w:p>
    <w:p w:rsidR="004E557E" w:rsidRPr="002640C0" w:rsidRDefault="004E557E" w:rsidP="00524438">
      <w:pPr>
        <w:pStyle w:val="Paragraphedeliste"/>
        <w:numPr>
          <w:ilvl w:val="0"/>
          <w:numId w:val="5"/>
        </w:numPr>
        <w:spacing w:before="120" w:after="120"/>
        <w:ind w:left="1134" w:hanging="141"/>
        <w:jc w:val="both"/>
        <w:rPr>
          <w:rFonts w:ascii="Arial" w:hAnsi="Arial" w:cs="Arial"/>
          <w:color w:val="231F1F"/>
        </w:rPr>
      </w:pPr>
      <w:proofErr w:type="gramStart"/>
      <w:r w:rsidRPr="002640C0">
        <w:rPr>
          <w:rFonts w:ascii="Arial" w:hAnsi="Arial" w:cs="Arial"/>
          <w:color w:val="231F1F"/>
        </w:rPr>
        <w:t>un</w:t>
      </w:r>
      <w:proofErr w:type="gramEnd"/>
      <w:r w:rsidRPr="002640C0">
        <w:rPr>
          <w:rFonts w:ascii="Arial" w:hAnsi="Arial" w:cs="Arial"/>
          <w:color w:val="231F1F"/>
        </w:rPr>
        <w:t xml:space="preserve"> avion d'une masse maximale au décollage (MTOM) n'excédant pas 2 000 kg, non classé comme aéronef à motorisation complexe;</w:t>
      </w:r>
    </w:p>
    <w:p w:rsidR="004E557E" w:rsidRPr="002640C0" w:rsidRDefault="004E557E" w:rsidP="00524438">
      <w:pPr>
        <w:pStyle w:val="Paragraphedeliste"/>
        <w:numPr>
          <w:ilvl w:val="0"/>
          <w:numId w:val="5"/>
        </w:numPr>
        <w:spacing w:before="120" w:after="120"/>
        <w:ind w:left="1134" w:hanging="141"/>
        <w:jc w:val="both"/>
        <w:rPr>
          <w:rFonts w:ascii="Arial" w:hAnsi="Arial" w:cs="Arial"/>
          <w:color w:val="231F1F"/>
        </w:rPr>
      </w:pPr>
      <w:proofErr w:type="gramStart"/>
      <w:r w:rsidRPr="002640C0">
        <w:rPr>
          <w:rFonts w:ascii="Arial" w:hAnsi="Arial" w:cs="Arial"/>
          <w:color w:val="231F1F"/>
        </w:rPr>
        <w:t>un</w:t>
      </w:r>
      <w:proofErr w:type="gramEnd"/>
      <w:r w:rsidRPr="002640C0">
        <w:rPr>
          <w:rFonts w:ascii="Arial" w:hAnsi="Arial" w:cs="Arial"/>
          <w:color w:val="231F1F"/>
        </w:rPr>
        <w:t xml:space="preserve"> planeur ou moto planeur d'une MTOM n'excédant pas 2 000 kg;</w:t>
      </w:r>
    </w:p>
    <w:p w:rsidR="004E557E" w:rsidRPr="002640C0" w:rsidRDefault="004E557E" w:rsidP="00524438">
      <w:pPr>
        <w:pStyle w:val="Paragraphedeliste"/>
        <w:numPr>
          <w:ilvl w:val="0"/>
          <w:numId w:val="5"/>
        </w:numPr>
        <w:spacing w:before="120" w:after="120"/>
        <w:ind w:left="1134" w:hanging="141"/>
        <w:jc w:val="both"/>
        <w:rPr>
          <w:rFonts w:ascii="Arial" w:hAnsi="Arial" w:cs="Arial"/>
          <w:color w:val="231F1F"/>
        </w:rPr>
      </w:pPr>
      <w:proofErr w:type="gramStart"/>
      <w:r w:rsidRPr="002640C0">
        <w:rPr>
          <w:rFonts w:ascii="Arial" w:hAnsi="Arial" w:cs="Arial"/>
          <w:color w:val="231F1F"/>
        </w:rPr>
        <w:t>un</w:t>
      </w:r>
      <w:proofErr w:type="gramEnd"/>
      <w:r w:rsidRPr="002640C0">
        <w:rPr>
          <w:rFonts w:ascii="Arial" w:hAnsi="Arial" w:cs="Arial"/>
          <w:color w:val="231F1F"/>
        </w:rPr>
        <w:t xml:space="preserve"> ballon;</w:t>
      </w:r>
    </w:p>
    <w:p w:rsidR="004E557E" w:rsidRPr="002640C0" w:rsidRDefault="004E557E" w:rsidP="00524438">
      <w:pPr>
        <w:pStyle w:val="Paragraphedeliste"/>
        <w:numPr>
          <w:ilvl w:val="0"/>
          <w:numId w:val="5"/>
        </w:numPr>
        <w:spacing w:before="120" w:after="120"/>
        <w:ind w:left="1134" w:hanging="141"/>
        <w:jc w:val="both"/>
        <w:rPr>
          <w:rFonts w:ascii="Arial" w:hAnsi="Arial" w:cs="Arial"/>
          <w:color w:val="231F1F"/>
        </w:rPr>
      </w:pPr>
      <w:proofErr w:type="gramStart"/>
      <w:r w:rsidRPr="002640C0">
        <w:rPr>
          <w:rFonts w:ascii="Arial" w:hAnsi="Arial" w:cs="Arial"/>
          <w:color w:val="231F1F"/>
        </w:rPr>
        <w:t>un</w:t>
      </w:r>
      <w:proofErr w:type="gramEnd"/>
      <w:r w:rsidRPr="002640C0">
        <w:rPr>
          <w:rFonts w:ascii="Arial" w:hAnsi="Arial" w:cs="Arial"/>
          <w:color w:val="231F1F"/>
        </w:rPr>
        <w:t xml:space="preserve"> dirigeable à air chaud;</w:t>
      </w:r>
    </w:p>
    <w:p w:rsidR="004E557E" w:rsidRPr="002640C0" w:rsidRDefault="004E557E" w:rsidP="00524438">
      <w:pPr>
        <w:pStyle w:val="Paragraphedeliste"/>
        <w:numPr>
          <w:ilvl w:val="0"/>
          <w:numId w:val="5"/>
        </w:numPr>
        <w:spacing w:before="120" w:after="120"/>
        <w:ind w:left="1134" w:hanging="141"/>
        <w:jc w:val="both"/>
        <w:rPr>
          <w:rFonts w:ascii="Arial" w:hAnsi="Arial" w:cs="Arial"/>
          <w:color w:val="231F1F"/>
        </w:rPr>
      </w:pPr>
      <w:proofErr w:type="gramStart"/>
      <w:r w:rsidRPr="002640C0">
        <w:rPr>
          <w:rFonts w:ascii="Arial" w:hAnsi="Arial" w:cs="Arial"/>
          <w:color w:val="231F1F"/>
        </w:rPr>
        <w:t>un</w:t>
      </w:r>
      <w:proofErr w:type="gramEnd"/>
      <w:r w:rsidRPr="002640C0">
        <w:rPr>
          <w:rFonts w:ascii="Arial" w:hAnsi="Arial" w:cs="Arial"/>
          <w:color w:val="231F1F"/>
        </w:rPr>
        <w:t xml:space="preserve"> dirigeable à gaz présentant toutes les caractéristiques suivantes:</w:t>
      </w:r>
    </w:p>
    <w:p w:rsidR="004E557E" w:rsidRDefault="004E557E" w:rsidP="00524438">
      <w:pPr>
        <w:pStyle w:val="Paragraphedeliste"/>
        <w:numPr>
          <w:ilvl w:val="0"/>
          <w:numId w:val="12"/>
        </w:numPr>
        <w:spacing w:before="120" w:after="120"/>
        <w:jc w:val="both"/>
        <w:rPr>
          <w:rFonts w:ascii="Arial" w:hAnsi="Arial" w:cs="Arial"/>
          <w:color w:val="231F1F"/>
        </w:rPr>
      </w:pPr>
      <w:proofErr w:type="gramStart"/>
      <w:r w:rsidRPr="002640C0">
        <w:rPr>
          <w:rFonts w:ascii="Arial" w:hAnsi="Arial" w:cs="Arial"/>
          <w:color w:val="231F1F"/>
        </w:rPr>
        <w:t>poids</w:t>
      </w:r>
      <w:proofErr w:type="gramEnd"/>
      <w:r w:rsidRPr="002640C0">
        <w:rPr>
          <w:rFonts w:ascii="Arial" w:hAnsi="Arial" w:cs="Arial"/>
          <w:color w:val="231F1F"/>
        </w:rPr>
        <w:t xml:space="preserve"> statique de 3 % maximum,</w:t>
      </w:r>
    </w:p>
    <w:p w:rsidR="004E557E" w:rsidRDefault="004E557E" w:rsidP="00524438">
      <w:pPr>
        <w:pStyle w:val="Paragraphedeliste"/>
        <w:numPr>
          <w:ilvl w:val="0"/>
          <w:numId w:val="12"/>
        </w:numPr>
        <w:spacing w:before="120" w:after="120"/>
        <w:jc w:val="both"/>
        <w:rPr>
          <w:rFonts w:ascii="Arial" w:hAnsi="Arial" w:cs="Arial"/>
          <w:color w:val="231F1F"/>
        </w:rPr>
      </w:pPr>
      <w:proofErr w:type="gramStart"/>
      <w:r w:rsidRPr="002640C0">
        <w:rPr>
          <w:rFonts w:ascii="Arial" w:hAnsi="Arial" w:cs="Arial"/>
          <w:color w:val="231F1F"/>
        </w:rPr>
        <w:t>poussée</w:t>
      </w:r>
      <w:proofErr w:type="gramEnd"/>
      <w:r w:rsidRPr="002640C0">
        <w:rPr>
          <w:rFonts w:ascii="Arial" w:hAnsi="Arial" w:cs="Arial"/>
          <w:color w:val="231F1F"/>
        </w:rPr>
        <w:t xml:space="preserve"> non dirigée (sauf inversion de poussée),</w:t>
      </w:r>
    </w:p>
    <w:p w:rsidR="004E557E" w:rsidRDefault="004E557E" w:rsidP="00524438">
      <w:pPr>
        <w:pStyle w:val="Paragraphedeliste"/>
        <w:numPr>
          <w:ilvl w:val="0"/>
          <w:numId w:val="12"/>
        </w:numPr>
        <w:spacing w:before="120" w:after="120"/>
        <w:jc w:val="both"/>
        <w:rPr>
          <w:rFonts w:ascii="Arial" w:hAnsi="Arial" w:cs="Arial"/>
          <w:color w:val="231F1F"/>
        </w:rPr>
      </w:pPr>
      <w:proofErr w:type="gramStart"/>
      <w:r w:rsidRPr="002640C0">
        <w:rPr>
          <w:rFonts w:ascii="Arial" w:hAnsi="Arial" w:cs="Arial"/>
          <w:color w:val="231F1F"/>
        </w:rPr>
        <w:t>conception</w:t>
      </w:r>
      <w:proofErr w:type="gramEnd"/>
      <w:r w:rsidRPr="002640C0">
        <w:rPr>
          <w:rFonts w:ascii="Arial" w:hAnsi="Arial" w:cs="Arial"/>
          <w:color w:val="231F1F"/>
        </w:rPr>
        <w:t xml:space="preserve"> simple et classique: de la structure, du système de commande et du système de ballonnets,</w:t>
      </w:r>
    </w:p>
    <w:p w:rsidR="004E557E" w:rsidRDefault="004E557E" w:rsidP="00524438">
      <w:pPr>
        <w:pStyle w:val="Paragraphedeliste"/>
        <w:numPr>
          <w:ilvl w:val="0"/>
          <w:numId w:val="12"/>
        </w:numPr>
        <w:spacing w:before="120" w:after="120"/>
        <w:jc w:val="both"/>
        <w:rPr>
          <w:rFonts w:ascii="Arial" w:hAnsi="Arial" w:cs="Arial"/>
          <w:color w:val="231F1F"/>
        </w:rPr>
      </w:pPr>
      <w:proofErr w:type="gramStart"/>
      <w:r w:rsidRPr="002640C0">
        <w:rPr>
          <w:rFonts w:ascii="Arial" w:hAnsi="Arial" w:cs="Arial"/>
          <w:color w:val="231F1F"/>
        </w:rPr>
        <w:lastRenderedPageBreak/>
        <w:t>commandes</w:t>
      </w:r>
      <w:proofErr w:type="gramEnd"/>
      <w:r w:rsidRPr="002640C0">
        <w:rPr>
          <w:rFonts w:ascii="Arial" w:hAnsi="Arial" w:cs="Arial"/>
          <w:color w:val="231F1F"/>
        </w:rPr>
        <w:t xml:space="preserve"> non assistées;</w:t>
      </w:r>
    </w:p>
    <w:p w:rsidR="004E557E" w:rsidRPr="002640C0" w:rsidRDefault="004E557E" w:rsidP="00524438">
      <w:pPr>
        <w:pStyle w:val="Paragraphedeliste"/>
        <w:numPr>
          <w:ilvl w:val="0"/>
          <w:numId w:val="5"/>
        </w:numPr>
        <w:spacing w:before="120" w:after="120"/>
        <w:ind w:left="1134" w:hanging="141"/>
        <w:jc w:val="both"/>
        <w:rPr>
          <w:rFonts w:ascii="Arial" w:hAnsi="Arial" w:cs="Arial"/>
          <w:color w:val="231F1F"/>
        </w:rPr>
      </w:pPr>
      <w:proofErr w:type="gramStart"/>
      <w:r w:rsidRPr="002640C0">
        <w:rPr>
          <w:rFonts w:ascii="Arial" w:hAnsi="Arial" w:cs="Arial"/>
          <w:color w:val="231F1F"/>
        </w:rPr>
        <w:t>un</w:t>
      </w:r>
      <w:proofErr w:type="gramEnd"/>
      <w:r w:rsidRPr="002640C0">
        <w:rPr>
          <w:rFonts w:ascii="Arial" w:hAnsi="Arial" w:cs="Arial"/>
          <w:color w:val="231F1F"/>
        </w:rPr>
        <w:t xml:space="preserve"> aéronef à voilure tournante très léger.</w:t>
      </w:r>
    </w:p>
    <w:p w:rsidR="004E557E" w:rsidRPr="002F6E29" w:rsidRDefault="004E557E" w:rsidP="00524438">
      <w:pPr>
        <w:widowControl w:val="0"/>
        <w:autoSpaceDE w:val="0"/>
        <w:autoSpaceDN w:val="0"/>
        <w:adjustRightInd w:val="0"/>
        <w:snapToGrid w:val="0"/>
        <w:spacing w:before="120" w:after="120" w:line="360" w:lineRule="auto"/>
        <w:jc w:val="center"/>
        <w:rPr>
          <w:rFonts w:ascii="Arial" w:hAnsi="Arial" w:cs="Arial"/>
          <w:b/>
          <w:color w:val="231F1F"/>
        </w:rPr>
      </w:pPr>
      <w:r w:rsidRPr="00524438">
        <w:rPr>
          <w:rFonts w:ascii="Arial" w:hAnsi="Arial" w:cs="Arial"/>
          <w:b/>
          <w:i/>
          <w:color w:val="231F1F"/>
          <w:sz w:val="24"/>
          <w:szCs w:val="24"/>
        </w:rPr>
        <w:t>Article 2</w:t>
      </w:r>
      <w:r w:rsidR="00524438" w:rsidRPr="00524438">
        <w:rPr>
          <w:rFonts w:ascii="Arial" w:hAnsi="Arial" w:cs="Arial"/>
          <w:b/>
          <w:i/>
          <w:color w:val="231F1F"/>
          <w:sz w:val="24"/>
          <w:szCs w:val="24"/>
        </w:rPr>
        <w:t xml:space="preserve"> -</w:t>
      </w:r>
      <w:r w:rsidR="00524438" w:rsidRPr="00524438">
        <w:rPr>
          <w:rFonts w:ascii="Arial" w:hAnsi="Arial" w:cs="Arial"/>
          <w:i/>
          <w:color w:val="231F1F"/>
          <w:sz w:val="24"/>
          <w:szCs w:val="24"/>
        </w:rPr>
        <w:t xml:space="preserve"> </w:t>
      </w:r>
      <w:r w:rsidRPr="00524438">
        <w:rPr>
          <w:rFonts w:ascii="Arial" w:hAnsi="Arial" w:cs="Arial"/>
          <w:b/>
          <w:color w:val="231F1F"/>
          <w:sz w:val="24"/>
          <w:szCs w:val="24"/>
        </w:rPr>
        <w:t>L’acceptation de la certification des produits, des pièces et des équipement</w:t>
      </w:r>
      <w:r w:rsidRPr="002F6E29">
        <w:rPr>
          <w:rFonts w:ascii="Arial" w:hAnsi="Arial" w:cs="Arial"/>
          <w:b/>
          <w:color w:val="231F1F"/>
        </w:rPr>
        <w:t>s</w:t>
      </w:r>
    </w:p>
    <w:p w:rsidR="004E557E" w:rsidRPr="002640C0" w:rsidRDefault="004E557E" w:rsidP="00524438">
      <w:pPr>
        <w:pStyle w:val="Paragraphedeliste"/>
        <w:numPr>
          <w:ilvl w:val="0"/>
          <w:numId w:val="6"/>
        </w:numPr>
        <w:spacing w:before="120" w:after="120"/>
        <w:ind w:left="284" w:hanging="284"/>
        <w:jc w:val="both"/>
        <w:rPr>
          <w:rFonts w:ascii="Arial" w:hAnsi="Arial" w:cs="Arial"/>
          <w:color w:val="231F1F"/>
        </w:rPr>
      </w:pPr>
      <w:proofErr w:type="gramStart"/>
      <w:r w:rsidRPr="002640C0">
        <w:rPr>
          <w:rFonts w:ascii="Arial" w:hAnsi="Arial" w:cs="Arial"/>
          <w:color w:val="231F1F"/>
        </w:rPr>
        <w:t>.Les</w:t>
      </w:r>
      <w:proofErr w:type="gramEnd"/>
      <w:r w:rsidRPr="002640C0">
        <w:rPr>
          <w:rFonts w:ascii="Arial" w:hAnsi="Arial" w:cs="Arial"/>
          <w:color w:val="231F1F"/>
        </w:rPr>
        <w:t xml:space="preserve"> produits, pièces et équipements font l'objet d’acceptation des certificats spécifiés à l’annexe 1 (Partie 21)</w:t>
      </w:r>
    </w:p>
    <w:p w:rsidR="004E557E" w:rsidRPr="002640C0" w:rsidRDefault="004E557E" w:rsidP="00524438">
      <w:pPr>
        <w:pStyle w:val="Paragraphedeliste"/>
        <w:numPr>
          <w:ilvl w:val="0"/>
          <w:numId w:val="6"/>
        </w:numPr>
        <w:spacing w:before="120" w:after="120"/>
        <w:ind w:left="284" w:hanging="284"/>
        <w:jc w:val="both"/>
        <w:rPr>
          <w:rFonts w:ascii="Arial" w:hAnsi="Arial" w:cs="Arial"/>
          <w:color w:val="231F1F"/>
        </w:rPr>
      </w:pPr>
      <w:proofErr w:type="gramStart"/>
      <w:r w:rsidRPr="002640C0">
        <w:rPr>
          <w:rFonts w:ascii="Arial" w:hAnsi="Arial" w:cs="Arial"/>
          <w:color w:val="231F1F"/>
        </w:rPr>
        <w:t>.Par</w:t>
      </w:r>
      <w:proofErr w:type="gramEnd"/>
      <w:r w:rsidRPr="002640C0">
        <w:rPr>
          <w:rFonts w:ascii="Arial" w:hAnsi="Arial" w:cs="Arial"/>
          <w:color w:val="231F1F"/>
        </w:rPr>
        <w:t xml:space="preserve"> dérogation au paragraphe 1, les aéronefs, y compris les produits, pièces et équipements embarqués, qui ne sont pas immatriculés dans un État membre, ne sont pas soumis aux dispositions des sous-parties H et I de l’annexe I (Partie 21)</w:t>
      </w:r>
      <w:r>
        <w:rPr>
          <w:rFonts w:ascii="Arial" w:hAnsi="Arial" w:cs="Arial"/>
          <w:color w:val="231F1F"/>
        </w:rPr>
        <w:t>.</w:t>
      </w:r>
      <w:r w:rsidRPr="002640C0">
        <w:rPr>
          <w:rFonts w:ascii="Arial" w:hAnsi="Arial" w:cs="Arial"/>
          <w:color w:val="231F1F"/>
        </w:rPr>
        <w:t xml:space="preserve"> Ils ne sont pas non plus soumis aux dispositions de la sous- partie P de l’annexe 1 (Partie 21), sauf lorsque des marques d’identification de l’aéronef sont imposées par un État membre.</w:t>
      </w:r>
    </w:p>
    <w:p w:rsidR="004E557E" w:rsidRPr="00524438" w:rsidRDefault="004E557E" w:rsidP="00524438">
      <w:pPr>
        <w:widowControl w:val="0"/>
        <w:autoSpaceDE w:val="0"/>
        <w:autoSpaceDN w:val="0"/>
        <w:adjustRightInd w:val="0"/>
        <w:snapToGrid w:val="0"/>
        <w:spacing w:before="120" w:after="120" w:line="360" w:lineRule="auto"/>
        <w:jc w:val="center"/>
        <w:rPr>
          <w:rFonts w:ascii="Arial" w:hAnsi="Arial" w:cs="Arial"/>
          <w:b/>
          <w:color w:val="231F1F"/>
          <w:sz w:val="24"/>
          <w:szCs w:val="24"/>
        </w:rPr>
      </w:pPr>
      <w:r w:rsidRPr="00524438">
        <w:rPr>
          <w:rFonts w:ascii="Arial" w:hAnsi="Arial" w:cs="Arial"/>
          <w:b/>
          <w:i/>
          <w:color w:val="231F1F"/>
          <w:sz w:val="24"/>
          <w:szCs w:val="24"/>
        </w:rPr>
        <w:t>Article 3</w:t>
      </w:r>
      <w:r w:rsidR="00524438" w:rsidRPr="00524438">
        <w:rPr>
          <w:rFonts w:ascii="Arial" w:hAnsi="Arial" w:cs="Arial"/>
          <w:b/>
          <w:i/>
          <w:color w:val="231F1F"/>
          <w:sz w:val="24"/>
          <w:szCs w:val="24"/>
        </w:rPr>
        <w:t xml:space="preserve"> -</w:t>
      </w:r>
      <w:r w:rsidR="00524438" w:rsidRPr="00524438">
        <w:rPr>
          <w:rFonts w:ascii="Arial" w:hAnsi="Arial" w:cs="Arial"/>
          <w:i/>
          <w:color w:val="231F1F"/>
          <w:sz w:val="24"/>
          <w:szCs w:val="24"/>
        </w:rPr>
        <w:t xml:space="preserve"> </w:t>
      </w:r>
      <w:r w:rsidRPr="00524438">
        <w:rPr>
          <w:rFonts w:ascii="Arial" w:hAnsi="Arial" w:cs="Arial"/>
          <w:b/>
          <w:color w:val="231F1F"/>
          <w:sz w:val="24"/>
          <w:szCs w:val="24"/>
        </w:rPr>
        <w:t>Maintien de la validité des certificats de type et des certificats de navigabilité associés</w:t>
      </w:r>
    </w:p>
    <w:p w:rsidR="004E557E" w:rsidRPr="002640C0" w:rsidRDefault="004E557E" w:rsidP="008E389E">
      <w:pPr>
        <w:pStyle w:val="Paragraphedeliste"/>
        <w:numPr>
          <w:ilvl w:val="0"/>
          <w:numId w:val="7"/>
        </w:numPr>
        <w:spacing w:before="120" w:after="120"/>
        <w:ind w:left="284" w:hanging="284"/>
        <w:jc w:val="both"/>
        <w:rPr>
          <w:rFonts w:ascii="Arial" w:hAnsi="Arial" w:cs="Arial"/>
          <w:color w:val="231F1F"/>
        </w:rPr>
      </w:pPr>
      <w:r w:rsidRPr="002640C0">
        <w:rPr>
          <w:rFonts w:ascii="Arial" w:hAnsi="Arial" w:cs="Arial"/>
          <w:color w:val="231F1F"/>
        </w:rPr>
        <w:t>Les dispositions suivantes s’appliquent aux produits dotés d’un certificat de</w:t>
      </w:r>
      <w:r w:rsidR="00524438">
        <w:rPr>
          <w:rFonts w:ascii="Arial" w:hAnsi="Arial" w:cs="Arial"/>
          <w:color w:val="231F1F"/>
        </w:rPr>
        <w:t xml:space="preserve"> type, ou d’un document accepté</w:t>
      </w:r>
      <w:r w:rsidRPr="002640C0">
        <w:rPr>
          <w:rFonts w:ascii="Arial" w:hAnsi="Arial" w:cs="Arial"/>
          <w:color w:val="231F1F"/>
        </w:rPr>
        <w:t xml:space="preserve"> autorisant la délivrance d’un certificat de navigabilité, par un État membre avant l’adoption du présent règlement</w:t>
      </w:r>
    </w:p>
    <w:p w:rsidR="004E557E" w:rsidRPr="002640C0" w:rsidRDefault="004E557E" w:rsidP="008E389E">
      <w:pPr>
        <w:pStyle w:val="Paragraphedeliste"/>
        <w:numPr>
          <w:ilvl w:val="0"/>
          <w:numId w:val="8"/>
        </w:numPr>
        <w:spacing w:before="120" w:after="120"/>
        <w:jc w:val="both"/>
        <w:rPr>
          <w:rFonts w:ascii="Arial" w:hAnsi="Arial" w:cs="Arial"/>
          <w:color w:val="231F1F"/>
        </w:rPr>
      </w:pPr>
      <w:proofErr w:type="gramStart"/>
      <w:r w:rsidRPr="002640C0">
        <w:rPr>
          <w:rFonts w:ascii="Arial" w:hAnsi="Arial" w:cs="Arial"/>
          <w:color w:val="231F1F"/>
        </w:rPr>
        <w:t>le</w:t>
      </w:r>
      <w:proofErr w:type="gramEnd"/>
      <w:r w:rsidRPr="002640C0">
        <w:rPr>
          <w:rFonts w:ascii="Arial" w:hAnsi="Arial" w:cs="Arial"/>
          <w:color w:val="231F1F"/>
        </w:rPr>
        <w:t xml:space="preserve"> produit est réputé couvert par un certificat de type accepté conformément aux dispositions du  présent règlement lorsque:</w:t>
      </w:r>
    </w:p>
    <w:p w:rsidR="004E557E" w:rsidRPr="002640C0" w:rsidRDefault="004E557E" w:rsidP="008E389E">
      <w:pPr>
        <w:pStyle w:val="Paragraphedeliste"/>
        <w:numPr>
          <w:ilvl w:val="0"/>
          <w:numId w:val="9"/>
        </w:numPr>
        <w:spacing w:before="120" w:after="120"/>
        <w:ind w:left="1066" w:hanging="215"/>
        <w:jc w:val="both"/>
        <w:rPr>
          <w:rFonts w:ascii="Arial" w:hAnsi="Arial" w:cs="Arial"/>
          <w:color w:val="231F1F"/>
        </w:rPr>
      </w:pPr>
      <w:proofErr w:type="gramStart"/>
      <w:r w:rsidRPr="002640C0">
        <w:rPr>
          <w:rFonts w:ascii="Arial" w:hAnsi="Arial" w:cs="Arial"/>
          <w:color w:val="231F1F"/>
        </w:rPr>
        <w:t>sa</w:t>
      </w:r>
      <w:proofErr w:type="gramEnd"/>
      <w:r w:rsidRPr="002640C0">
        <w:rPr>
          <w:rFonts w:ascii="Arial" w:hAnsi="Arial" w:cs="Arial"/>
          <w:color w:val="231F1F"/>
        </w:rPr>
        <w:t xml:space="preserve"> base de certification de type est conforme à:</w:t>
      </w:r>
    </w:p>
    <w:p w:rsidR="004E557E" w:rsidRDefault="004E557E" w:rsidP="008E389E">
      <w:pPr>
        <w:pStyle w:val="Paragraphedeliste"/>
        <w:numPr>
          <w:ilvl w:val="0"/>
          <w:numId w:val="13"/>
        </w:numPr>
        <w:spacing w:before="120" w:after="120"/>
        <w:jc w:val="both"/>
        <w:rPr>
          <w:rFonts w:ascii="Arial" w:hAnsi="Arial" w:cs="Arial"/>
          <w:color w:val="231F1F"/>
        </w:rPr>
      </w:pPr>
      <w:proofErr w:type="gramStart"/>
      <w:r w:rsidRPr="002640C0">
        <w:rPr>
          <w:rFonts w:ascii="Arial" w:hAnsi="Arial" w:cs="Arial"/>
          <w:color w:val="231F1F"/>
        </w:rPr>
        <w:t>la</w:t>
      </w:r>
      <w:proofErr w:type="gramEnd"/>
      <w:r w:rsidRPr="002640C0">
        <w:rPr>
          <w:rFonts w:ascii="Arial" w:hAnsi="Arial" w:cs="Arial"/>
          <w:color w:val="231F1F"/>
        </w:rPr>
        <w:t xml:space="preserve"> base de certification de type EASA ; FAA, Transport Canada, ou toute</w:t>
      </w:r>
      <w:r>
        <w:rPr>
          <w:rFonts w:ascii="Arial" w:hAnsi="Arial" w:cs="Arial"/>
          <w:color w:val="231F1F"/>
        </w:rPr>
        <w:t>s</w:t>
      </w:r>
      <w:r w:rsidRPr="002640C0">
        <w:rPr>
          <w:rFonts w:ascii="Arial" w:hAnsi="Arial" w:cs="Arial"/>
          <w:color w:val="231F1F"/>
        </w:rPr>
        <w:t xml:space="preserve"> autre</w:t>
      </w:r>
      <w:r>
        <w:rPr>
          <w:rFonts w:ascii="Arial" w:hAnsi="Arial" w:cs="Arial"/>
          <w:color w:val="231F1F"/>
        </w:rPr>
        <w:t>s</w:t>
      </w:r>
      <w:r w:rsidRPr="002640C0">
        <w:rPr>
          <w:rFonts w:ascii="Arial" w:hAnsi="Arial" w:cs="Arial"/>
          <w:color w:val="231F1F"/>
        </w:rPr>
        <w:t xml:space="preserve"> base</w:t>
      </w:r>
      <w:r>
        <w:rPr>
          <w:rFonts w:ascii="Arial" w:hAnsi="Arial" w:cs="Arial"/>
          <w:color w:val="231F1F"/>
        </w:rPr>
        <w:t>s</w:t>
      </w:r>
      <w:r w:rsidRPr="002640C0">
        <w:rPr>
          <w:rFonts w:ascii="Arial" w:hAnsi="Arial" w:cs="Arial"/>
          <w:color w:val="231F1F"/>
        </w:rPr>
        <w:t xml:space="preserve"> de certification  répondant aux exigences applicables de l’OACI</w:t>
      </w:r>
    </w:p>
    <w:p w:rsidR="004E557E" w:rsidRDefault="004E557E" w:rsidP="008E389E">
      <w:pPr>
        <w:pStyle w:val="Paragraphedeliste"/>
        <w:numPr>
          <w:ilvl w:val="0"/>
          <w:numId w:val="13"/>
        </w:numPr>
        <w:spacing w:before="120" w:after="120"/>
        <w:jc w:val="both"/>
        <w:rPr>
          <w:rFonts w:ascii="Arial" w:hAnsi="Arial" w:cs="Arial"/>
          <w:color w:val="231F1F"/>
        </w:rPr>
      </w:pPr>
      <w:proofErr w:type="gramStart"/>
      <w:r w:rsidRPr="002640C0">
        <w:rPr>
          <w:rFonts w:ascii="Arial" w:hAnsi="Arial" w:cs="Arial"/>
          <w:color w:val="231F1F"/>
        </w:rPr>
        <w:t>pour</w:t>
      </w:r>
      <w:proofErr w:type="gramEnd"/>
      <w:r w:rsidRPr="002640C0">
        <w:rPr>
          <w:rFonts w:ascii="Arial" w:hAnsi="Arial" w:cs="Arial"/>
          <w:color w:val="231F1F"/>
        </w:rPr>
        <w:t xml:space="preserve"> les autres produits, la base de certification de type telle que définie dans la fiche de caractéristiques du certificat de type de l'État de conception</w:t>
      </w:r>
    </w:p>
    <w:p w:rsidR="004E557E" w:rsidRPr="002640C0" w:rsidRDefault="004E557E" w:rsidP="008E389E">
      <w:pPr>
        <w:pStyle w:val="Paragraphedeliste"/>
        <w:numPr>
          <w:ilvl w:val="0"/>
          <w:numId w:val="9"/>
        </w:numPr>
        <w:spacing w:before="120" w:after="120"/>
        <w:ind w:left="1066" w:hanging="215"/>
        <w:jc w:val="both"/>
      </w:pPr>
      <w:proofErr w:type="gramStart"/>
      <w:r w:rsidRPr="002640C0">
        <w:rPr>
          <w:rFonts w:ascii="Arial" w:hAnsi="Arial" w:cs="Arial"/>
          <w:color w:val="231F1F"/>
        </w:rPr>
        <w:t>les</w:t>
      </w:r>
      <w:proofErr w:type="gramEnd"/>
      <w:r w:rsidRPr="002640C0">
        <w:rPr>
          <w:rFonts w:ascii="Arial" w:hAnsi="Arial" w:cs="Arial"/>
          <w:color w:val="231F1F"/>
        </w:rPr>
        <w:t xml:space="preserve"> consignes de navigabilité applicables sont  celles de l'État de conception;</w:t>
      </w:r>
    </w:p>
    <w:p w:rsidR="004E557E" w:rsidRPr="002640C0" w:rsidRDefault="004E557E" w:rsidP="008E389E">
      <w:pPr>
        <w:pStyle w:val="Paragraphedeliste"/>
        <w:numPr>
          <w:ilvl w:val="0"/>
          <w:numId w:val="7"/>
        </w:numPr>
        <w:spacing w:before="120" w:after="120"/>
        <w:ind w:left="284" w:hanging="284"/>
        <w:jc w:val="both"/>
      </w:pPr>
      <w:r w:rsidRPr="002640C0">
        <w:rPr>
          <w:rFonts w:ascii="Arial" w:hAnsi="Arial" w:cs="Arial"/>
          <w:color w:val="231F1F"/>
        </w:rPr>
        <w:t>Un certificat de navigabilité, délivré par un État membre et attestant la conformité avec un certificat de type déterminé conformément au paragraphe 1, est réputé être conforme au présent règlement.</w:t>
      </w:r>
    </w:p>
    <w:p w:rsidR="004E557E" w:rsidRPr="008E389E" w:rsidRDefault="004E557E" w:rsidP="004E557E">
      <w:pPr>
        <w:spacing w:before="120" w:after="120" w:line="360" w:lineRule="auto"/>
        <w:jc w:val="center"/>
        <w:rPr>
          <w:rFonts w:ascii="Arial" w:hAnsi="Arial" w:cs="Arial"/>
          <w:b/>
          <w:color w:val="231F1F"/>
          <w:sz w:val="24"/>
          <w:szCs w:val="24"/>
        </w:rPr>
      </w:pPr>
      <w:r w:rsidRPr="008E389E">
        <w:rPr>
          <w:rFonts w:ascii="Arial" w:hAnsi="Arial" w:cs="Arial"/>
          <w:b/>
          <w:i/>
          <w:color w:val="231F1F"/>
          <w:sz w:val="24"/>
          <w:szCs w:val="24"/>
        </w:rPr>
        <w:t>Article 4</w:t>
      </w:r>
      <w:r w:rsidR="00524438" w:rsidRPr="008E389E">
        <w:rPr>
          <w:rFonts w:ascii="Arial" w:hAnsi="Arial" w:cs="Arial"/>
          <w:b/>
          <w:i/>
          <w:color w:val="231F1F"/>
          <w:sz w:val="24"/>
          <w:szCs w:val="24"/>
        </w:rPr>
        <w:t xml:space="preserve"> - </w:t>
      </w:r>
      <w:r w:rsidRPr="008E389E">
        <w:rPr>
          <w:rFonts w:ascii="Arial" w:hAnsi="Arial" w:cs="Arial"/>
          <w:b/>
          <w:color w:val="231F1F"/>
          <w:sz w:val="24"/>
          <w:szCs w:val="24"/>
        </w:rPr>
        <w:t>Maintien de la validité des certificats de type supplémentaires</w:t>
      </w:r>
    </w:p>
    <w:p w:rsidR="004E557E" w:rsidRPr="002640C0" w:rsidRDefault="004E557E" w:rsidP="008E389E">
      <w:pPr>
        <w:pStyle w:val="Paragraphedeliste"/>
        <w:numPr>
          <w:ilvl w:val="0"/>
          <w:numId w:val="10"/>
        </w:numPr>
        <w:spacing w:before="120" w:after="120"/>
        <w:ind w:left="284" w:hanging="284"/>
        <w:jc w:val="both"/>
        <w:rPr>
          <w:rFonts w:ascii="Arial" w:hAnsi="Arial" w:cs="Arial"/>
          <w:color w:val="231F1F"/>
        </w:rPr>
      </w:pPr>
      <w:r w:rsidRPr="002640C0">
        <w:rPr>
          <w:rFonts w:ascii="Arial" w:hAnsi="Arial" w:cs="Arial"/>
          <w:color w:val="231F1F"/>
        </w:rPr>
        <w:t>En ce qui concerne les certificats de type supplémentaires délivrés par un État de conception primaire, et en ce qui concerne les modifications apportées aux produits, proposées par une personne autre que le titulaire du certificat de type du produit, puis acceptées  par un État membre dans le cadre des procédures nationales en vigueur, lorsque le certificat de type supplémentaire, ou la modification, était valide avant l’adoption du présent règlement le certificat de type supplémentaire ou la modification sont réputés être acceptés dans le cadre du présent règlement.</w:t>
      </w:r>
    </w:p>
    <w:p w:rsidR="004E557E" w:rsidRPr="00524438" w:rsidRDefault="004E557E" w:rsidP="004E557E">
      <w:pPr>
        <w:spacing w:before="120" w:after="120" w:line="360" w:lineRule="auto"/>
        <w:jc w:val="center"/>
        <w:rPr>
          <w:rFonts w:ascii="Arial" w:hAnsi="Arial" w:cs="Arial"/>
          <w:b/>
          <w:color w:val="231F1F"/>
          <w:sz w:val="24"/>
          <w:szCs w:val="24"/>
        </w:rPr>
      </w:pPr>
      <w:r w:rsidRPr="00524438">
        <w:rPr>
          <w:rFonts w:ascii="Arial" w:hAnsi="Arial" w:cs="Arial"/>
          <w:b/>
          <w:i/>
          <w:color w:val="231F1F"/>
          <w:sz w:val="24"/>
          <w:szCs w:val="24"/>
        </w:rPr>
        <w:t>Article 5</w:t>
      </w:r>
      <w:r w:rsidR="00524438" w:rsidRPr="00524438">
        <w:rPr>
          <w:rFonts w:ascii="Arial" w:hAnsi="Arial" w:cs="Arial"/>
          <w:b/>
          <w:i/>
          <w:color w:val="231F1F"/>
          <w:sz w:val="24"/>
          <w:szCs w:val="24"/>
        </w:rPr>
        <w:t xml:space="preserve"> -</w:t>
      </w:r>
      <w:r w:rsidR="00524438" w:rsidRPr="00524438">
        <w:rPr>
          <w:rFonts w:ascii="Arial" w:hAnsi="Arial" w:cs="Arial"/>
          <w:b/>
          <w:color w:val="231F1F"/>
          <w:sz w:val="24"/>
          <w:szCs w:val="24"/>
        </w:rPr>
        <w:t xml:space="preserve"> </w:t>
      </w:r>
      <w:r w:rsidRPr="00524438">
        <w:rPr>
          <w:rFonts w:ascii="Arial" w:hAnsi="Arial" w:cs="Arial"/>
          <w:b/>
          <w:color w:val="231F1F"/>
          <w:sz w:val="24"/>
          <w:szCs w:val="24"/>
        </w:rPr>
        <w:t>Maintien en exploitation de certains aéronefs immatriculés par des États membres</w:t>
      </w:r>
    </w:p>
    <w:p w:rsidR="004E557E" w:rsidRPr="002640C0" w:rsidRDefault="004E557E" w:rsidP="008E389E">
      <w:pPr>
        <w:spacing w:before="120" w:after="120"/>
        <w:jc w:val="both"/>
        <w:rPr>
          <w:rFonts w:ascii="Arial" w:hAnsi="Arial" w:cs="Arial"/>
          <w:color w:val="231F1F"/>
        </w:rPr>
      </w:pPr>
      <w:r w:rsidRPr="002640C0">
        <w:rPr>
          <w:rFonts w:ascii="Arial" w:hAnsi="Arial" w:cs="Arial"/>
          <w:color w:val="231F1F"/>
        </w:rPr>
        <w:t>En ce qui concerne un aéronef qui ne peut pas être réputé couvert par un certificat de type qui s’est vu délivrer un certificat de navigabilité par un État membre et qui figurait sur le registre de cet État membre l’ensemble des éléments suivants est réputé constituer les spécifications de navigabilité particulières applicables délivrées conformément au présent règlement</w:t>
      </w:r>
      <w:r w:rsidR="00524438">
        <w:rPr>
          <w:rFonts w:ascii="Arial" w:hAnsi="Arial" w:cs="Arial"/>
          <w:color w:val="231F1F"/>
        </w:rPr>
        <w:t xml:space="preserve"> </w:t>
      </w:r>
      <w:r w:rsidRPr="002640C0">
        <w:rPr>
          <w:rFonts w:ascii="Arial" w:hAnsi="Arial" w:cs="Arial"/>
          <w:color w:val="231F1F"/>
        </w:rPr>
        <w:t>:</w:t>
      </w:r>
    </w:p>
    <w:p w:rsidR="004E557E" w:rsidRDefault="004E557E" w:rsidP="008E389E">
      <w:pPr>
        <w:pStyle w:val="Paragraphedeliste"/>
        <w:numPr>
          <w:ilvl w:val="0"/>
          <w:numId w:val="17"/>
        </w:numPr>
        <w:tabs>
          <w:tab w:val="left" w:pos="284"/>
        </w:tabs>
        <w:spacing w:before="120" w:after="120"/>
        <w:jc w:val="both"/>
        <w:rPr>
          <w:rFonts w:ascii="Arial" w:hAnsi="Arial" w:cs="Arial"/>
          <w:color w:val="231F1F"/>
        </w:rPr>
      </w:pPr>
      <w:proofErr w:type="gramStart"/>
      <w:r w:rsidRPr="002640C0">
        <w:rPr>
          <w:rFonts w:ascii="Arial" w:hAnsi="Arial" w:cs="Arial"/>
          <w:color w:val="231F1F"/>
        </w:rPr>
        <w:lastRenderedPageBreak/>
        <w:t>la</w:t>
      </w:r>
      <w:proofErr w:type="gramEnd"/>
      <w:r w:rsidRPr="002640C0">
        <w:rPr>
          <w:rFonts w:ascii="Arial" w:hAnsi="Arial" w:cs="Arial"/>
          <w:color w:val="231F1F"/>
        </w:rPr>
        <w:t xml:space="preserve"> fiche de caractéristiques du certificat de type et la fiche de caractéristiques du certificat de type concernant le niveau de bruit, ou des documents équivalents, de l’État de conception, à condition que l’État de conception ait conclu conformément à l’article 32 </w:t>
      </w:r>
      <w:r w:rsidRPr="002640C0">
        <w:rPr>
          <w:rFonts w:ascii="Arial" w:hAnsi="Arial" w:cs="Arial"/>
          <w:color w:val="231F1F"/>
          <w:highlight w:val="yellow"/>
        </w:rPr>
        <w:t>27</w:t>
      </w:r>
      <w:r w:rsidRPr="002640C0">
        <w:rPr>
          <w:rFonts w:ascii="Arial" w:hAnsi="Arial" w:cs="Arial"/>
          <w:color w:val="231F1F"/>
        </w:rPr>
        <w:t xml:space="preserve">, paragraphe 2 </w:t>
      </w:r>
      <w:r w:rsidRPr="002640C0">
        <w:rPr>
          <w:rFonts w:ascii="Arial" w:hAnsi="Arial" w:cs="Arial"/>
          <w:color w:val="231F1F"/>
          <w:highlight w:val="yellow"/>
        </w:rPr>
        <w:t>2</w:t>
      </w:r>
      <w:r w:rsidRPr="002640C0">
        <w:rPr>
          <w:rFonts w:ascii="Arial" w:hAnsi="Arial" w:cs="Arial"/>
          <w:color w:val="231F1F"/>
        </w:rPr>
        <w:t xml:space="preserve">, du règlement (CC) </w:t>
      </w:r>
      <w:r w:rsidR="00524438" w:rsidRPr="002F6E29">
        <w:rPr>
          <w:rFonts w:ascii="Arial" w:hAnsi="Arial" w:cs="Arial"/>
        </w:rPr>
        <w:t>N°XXXX/20-CC-ASSA-AC-CM-XX</w:t>
      </w:r>
      <w:r w:rsidR="00524438" w:rsidRPr="002F6E29">
        <w:rPr>
          <w:rFonts w:ascii="Arial" w:hAnsi="Arial" w:cs="Arial"/>
          <w:color w:val="FF0000"/>
          <w:shd w:val="clear" w:color="auto" w:fill="FFFFFF" w:themeFill="background1"/>
        </w:rPr>
        <w:t xml:space="preserve"> </w:t>
      </w:r>
      <w:r w:rsidR="00524438" w:rsidRPr="00524438">
        <w:rPr>
          <w:rFonts w:ascii="Arial" w:hAnsi="Arial" w:cs="Arial"/>
          <w:color w:val="FF0000"/>
          <w:highlight w:val="yellow"/>
          <w:shd w:val="clear" w:color="auto" w:fill="FFFFFF" w:themeFill="background1"/>
        </w:rPr>
        <w:t>(UE) 2018/1139</w:t>
      </w:r>
      <w:r w:rsidR="00524438">
        <w:rPr>
          <w:rFonts w:ascii="Arial" w:hAnsi="Arial" w:cs="Arial"/>
          <w:color w:val="FF0000"/>
          <w:shd w:val="clear" w:color="auto" w:fill="FFFFFF" w:themeFill="background1"/>
        </w:rPr>
        <w:t xml:space="preserve"> </w:t>
      </w:r>
      <w:r w:rsidRPr="002640C0">
        <w:rPr>
          <w:rFonts w:ascii="Arial" w:hAnsi="Arial" w:cs="Arial"/>
          <w:color w:val="231F1F"/>
          <w:highlight w:val="yellow"/>
        </w:rPr>
        <w:t>(CE) no 216/2008</w:t>
      </w:r>
      <w:r w:rsidRPr="002640C0">
        <w:rPr>
          <w:rFonts w:ascii="Arial" w:hAnsi="Arial" w:cs="Arial"/>
          <w:color w:val="231F1F"/>
        </w:rPr>
        <w:t xml:space="preserve"> l’arrangement de travail approprié avec l’Agence couvrant le maintien de la navigabilité de la conception d’un tel aéronef;</w:t>
      </w:r>
    </w:p>
    <w:p w:rsidR="004E557E" w:rsidRDefault="004E557E" w:rsidP="008E389E">
      <w:pPr>
        <w:pStyle w:val="Paragraphedeliste"/>
        <w:numPr>
          <w:ilvl w:val="0"/>
          <w:numId w:val="17"/>
        </w:numPr>
        <w:tabs>
          <w:tab w:val="left" w:pos="284"/>
        </w:tabs>
        <w:spacing w:before="120" w:after="120"/>
        <w:jc w:val="both"/>
      </w:pPr>
      <w:proofErr w:type="gramStart"/>
      <w:r w:rsidRPr="002640C0">
        <w:rPr>
          <w:rFonts w:ascii="Arial" w:hAnsi="Arial" w:cs="Arial"/>
          <w:color w:val="231F1F"/>
        </w:rPr>
        <w:t>les</w:t>
      </w:r>
      <w:proofErr w:type="gramEnd"/>
      <w:r w:rsidRPr="002640C0">
        <w:rPr>
          <w:rFonts w:ascii="Arial" w:hAnsi="Arial" w:cs="Arial"/>
          <w:color w:val="231F1F"/>
        </w:rPr>
        <w:t xml:space="preserve"> exigences en matière de protection de l'environnement établies à l'annexe 16 de la convention de Chicago qui s’appliquent à l’aéronef; et</w:t>
      </w:r>
    </w:p>
    <w:p w:rsidR="004E557E" w:rsidRDefault="004E557E" w:rsidP="008E389E">
      <w:pPr>
        <w:pStyle w:val="Paragraphedeliste"/>
        <w:numPr>
          <w:ilvl w:val="0"/>
          <w:numId w:val="17"/>
        </w:numPr>
        <w:tabs>
          <w:tab w:val="left" w:pos="284"/>
        </w:tabs>
        <w:spacing w:before="120" w:after="120"/>
        <w:jc w:val="both"/>
      </w:pPr>
      <w:proofErr w:type="gramStart"/>
      <w:r w:rsidRPr="002640C0">
        <w:rPr>
          <w:rFonts w:ascii="Arial" w:hAnsi="Arial" w:cs="Arial"/>
          <w:color w:val="231F1F"/>
        </w:rPr>
        <w:t>les</w:t>
      </w:r>
      <w:proofErr w:type="gramEnd"/>
      <w:r w:rsidRPr="002640C0">
        <w:rPr>
          <w:rFonts w:ascii="Arial" w:hAnsi="Arial" w:cs="Arial"/>
          <w:color w:val="231F1F"/>
        </w:rPr>
        <w:t xml:space="preserve"> informations obligatoires de l’État de conception sur le maintien de la navigabilité.</w:t>
      </w:r>
    </w:p>
    <w:p w:rsidR="004E557E" w:rsidRPr="008E389E" w:rsidRDefault="004E557E" w:rsidP="00524438">
      <w:pPr>
        <w:tabs>
          <w:tab w:val="left" w:pos="284"/>
        </w:tabs>
        <w:spacing w:before="120" w:after="120" w:line="360" w:lineRule="auto"/>
        <w:jc w:val="center"/>
        <w:rPr>
          <w:rFonts w:ascii="Arial" w:hAnsi="Arial" w:cs="Arial"/>
          <w:b/>
          <w:color w:val="231F1F"/>
          <w:sz w:val="24"/>
          <w:szCs w:val="24"/>
        </w:rPr>
      </w:pPr>
      <w:r w:rsidRPr="008E389E">
        <w:rPr>
          <w:rFonts w:ascii="Arial" w:hAnsi="Arial" w:cs="Arial"/>
          <w:b/>
          <w:i/>
          <w:color w:val="231F1F"/>
          <w:sz w:val="24"/>
          <w:szCs w:val="24"/>
        </w:rPr>
        <w:t>Article 6</w:t>
      </w:r>
      <w:r w:rsidR="00524438" w:rsidRPr="008E389E">
        <w:rPr>
          <w:rFonts w:ascii="Arial" w:hAnsi="Arial" w:cs="Arial"/>
          <w:b/>
          <w:i/>
          <w:color w:val="231F1F"/>
          <w:sz w:val="24"/>
          <w:szCs w:val="24"/>
        </w:rPr>
        <w:t xml:space="preserve"> - </w:t>
      </w:r>
      <w:r w:rsidRPr="008E389E">
        <w:rPr>
          <w:rFonts w:ascii="Arial" w:hAnsi="Arial" w:cs="Arial"/>
          <w:b/>
          <w:color w:val="231F1F"/>
          <w:sz w:val="24"/>
          <w:szCs w:val="24"/>
        </w:rPr>
        <w:t>Autorisation de vol</w:t>
      </w:r>
    </w:p>
    <w:p w:rsidR="004E557E" w:rsidRPr="002640C0" w:rsidRDefault="004E557E" w:rsidP="008E389E">
      <w:pPr>
        <w:tabs>
          <w:tab w:val="left" w:pos="284"/>
        </w:tabs>
        <w:spacing w:before="120" w:after="120"/>
        <w:jc w:val="both"/>
        <w:rPr>
          <w:rFonts w:ascii="Arial" w:hAnsi="Arial" w:cs="Arial"/>
          <w:color w:val="231F1F"/>
        </w:rPr>
      </w:pPr>
      <w:r w:rsidRPr="002640C0">
        <w:rPr>
          <w:rFonts w:ascii="Arial" w:hAnsi="Arial" w:cs="Arial"/>
          <w:color w:val="231F1F"/>
        </w:rPr>
        <w:t xml:space="preserve">Les conditions déterminées avant l’adoption du présent règlement par les États membres pour les autorisations de vol ou pour d’autres certificats de navigabilité délivrés pour des aéronefs qui ne sont pas couverts par un certificat de navigabilité ou un certificat de navigabilité restreint délivré conformément au présent règlement sont réputées avoir été déterminées conformément au présent règlement, à moins que l’Agence n’ait décidé, avant l’adoption du règlement que ces conditions ne garantissent pas un niveau de que ces conditions ne garantissent pas un niveau de </w:t>
      </w:r>
      <w:r w:rsidR="00524438" w:rsidRPr="002F6E29">
        <w:rPr>
          <w:rFonts w:ascii="Arial" w:hAnsi="Arial" w:cs="Arial"/>
        </w:rPr>
        <w:t>N°XXXX/20-CC-ASSA-AC-CM-XX</w:t>
      </w:r>
      <w:r w:rsidR="00524438" w:rsidRPr="002F6E29">
        <w:rPr>
          <w:rFonts w:ascii="Arial" w:hAnsi="Arial" w:cs="Arial"/>
          <w:color w:val="FF0000"/>
          <w:shd w:val="clear" w:color="auto" w:fill="FFFFFF" w:themeFill="background1"/>
        </w:rPr>
        <w:t xml:space="preserve"> </w:t>
      </w:r>
      <w:r w:rsidR="00524438" w:rsidRPr="00524438">
        <w:rPr>
          <w:rFonts w:ascii="Arial" w:hAnsi="Arial" w:cs="Arial"/>
          <w:color w:val="FF0000"/>
          <w:highlight w:val="yellow"/>
          <w:shd w:val="clear" w:color="auto" w:fill="FFFFFF" w:themeFill="background1"/>
        </w:rPr>
        <w:t>(UE) 2018/1139</w:t>
      </w:r>
      <w:r w:rsidR="00524438">
        <w:rPr>
          <w:rFonts w:ascii="Arial" w:hAnsi="Arial" w:cs="Arial"/>
          <w:color w:val="FF0000"/>
          <w:shd w:val="clear" w:color="auto" w:fill="FFFFFF" w:themeFill="background1"/>
        </w:rPr>
        <w:t xml:space="preserve"> </w:t>
      </w:r>
      <w:r w:rsidRPr="002640C0">
        <w:rPr>
          <w:rFonts w:ascii="Arial" w:hAnsi="Arial" w:cs="Arial"/>
          <w:color w:val="231F1F"/>
        </w:rPr>
        <w:t>(</w:t>
      </w:r>
      <w:r w:rsidRPr="002640C0">
        <w:rPr>
          <w:rFonts w:ascii="Arial" w:hAnsi="Arial" w:cs="Arial"/>
          <w:color w:val="231F1F"/>
          <w:highlight w:val="yellow"/>
        </w:rPr>
        <w:t>CE) no 216/2008</w:t>
      </w:r>
      <w:r w:rsidRPr="002640C0">
        <w:rPr>
          <w:rFonts w:ascii="Arial" w:hAnsi="Arial" w:cs="Arial"/>
          <w:color w:val="231F1F"/>
        </w:rPr>
        <w:t xml:space="preserve"> ou le présent règlement.</w:t>
      </w:r>
    </w:p>
    <w:p w:rsidR="00AC14F9" w:rsidRPr="00423AF7" w:rsidRDefault="00AC14F9" w:rsidP="00AC14F9">
      <w:pPr>
        <w:pStyle w:val="Paragraphedeliste"/>
        <w:spacing w:before="240" w:after="240" w:line="240" w:lineRule="auto"/>
        <w:ind w:left="1440"/>
        <w:jc w:val="center"/>
        <w:rPr>
          <w:rFonts w:ascii="Arial" w:hAnsi="Arial" w:cs="Arial"/>
          <w:b/>
          <w:sz w:val="24"/>
          <w:szCs w:val="24"/>
        </w:rPr>
      </w:pPr>
      <w:r w:rsidRPr="00AC14F9">
        <w:rPr>
          <w:rFonts w:ascii="Arial" w:hAnsi="Arial" w:cs="Arial"/>
          <w:b/>
          <w:i/>
          <w:iCs/>
          <w:sz w:val="24"/>
          <w:szCs w:val="24"/>
        </w:rPr>
        <w:t>Article 7</w:t>
      </w:r>
      <w:r w:rsidRPr="00AC14F9">
        <w:rPr>
          <w:rFonts w:ascii="Arial" w:hAnsi="Arial" w:cs="Arial"/>
          <w:b/>
          <w:iCs/>
          <w:sz w:val="24"/>
          <w:szCs w:val="24"/>
        </w:rPr>
        <w:t xml:space="preserve"> -</w:t>
      </w:r>
      <w:r w:rsidRPr="00423AF7">
        <w:rPr>
          <w:rFonts w:ascii="Arial" w:hAnsi="Arial" w:cs="Arial"/>
          <w:b/>
          <w:iCs/>
          <w:sz w:val="24"/>
          <w:szCs w:val="24"/>
        </w:rPr>
        <w:t xml:space="preserve"> </w:t>
      </w:r>
      <w:r w:rsidRPr="00423AF7">
        <w:rPr>
          <w:rFonts w:ascii="Arial" w:hAnsi="Arial" w:cs="Arial"/>
          <w:b/>
          <w:sz w:val="24"/>
          <w:szCs w:val="24"/>
        </w:rPr>
        <w:t>Révision des règlements d’application</w:t>
      </w:r>
    </w:p>
    <w:p w:rsidR="00AC14F9" w:rsidRPr="00AC14F9" w:rsidRDefault="00AC14F9" w:rsidP="00AC14F9">
      <w:pPr>
        <w:tabs>
          <w:tab w:val="left" w:pos="284"/>
        </w:tabs>
        <w:spacing w:before="120" w:after="120"/>
        <w:jc w:val="both"/>
        <w:rPr>
          <w:rFonts w:ascii="Arial" w:hAnsi="Arial" w:cs="Arial"/>
          <w:b/>
          <w:i/>
          <w:color w:val="231F1F"/>
          <w:sz w:val="24"/>
          <w:szCs w:val="24"/>
        </w:rPr>
      </w:pPr>
      <w:r w:rsidRPr="00AC14F9">
        <w:rPr>
          <w:rFonts w:ascii="Arial" w:hAnsi="Arial" w:cs="Arial"/>
        </w:rPr>
        <w:t>Le directeur général de l’ASSA-AC est chargé de la révision des règlements d’application en cas d’amendement des annexes OACI et des règlements de la commission de l’UE.</w:t>
      </w:r>
    </w:p>
    <w:p w:rsidR="004E557E" w:rsidRPr="00524438" w:rsidRDefault="00AC14F9" w:rsidP="004E557E">
      <w:pPr>
        <w:tabs>
          <w:tab w:val="left" w:pos="284"/>
        </w:tabs>
        <w:spacing w:before="120" w:after="120" w:line="360" w:lineRule="auto"/>
        <w:jc w:val="center"/>
        <w:rPr>
          <w:rFonts w:ascii="Arial" w:hAnsi="Arial" w:cs="Arial"/>
          <w:b/>
          <w:color w:val="231F1F"/>
          <w:sz w:val="24"/>
          <w:szCs w:val="24"/>
        </w:rPr>
      </w:pPr>
      <w:r>
        <w:rPr>
          <w:rFonts w:ascii="Arial" w:hAnsi="Arial" w:cs="Arial"/>
          <w:b/>
          <w:i/>
          <w:color w:val="231F1F"/>
          <w:sz w:val="24"/>
          <w:szCs w:val="24"/>
        </w:rPr>
        <w:t>Article 8</w:t>
      </w:r>
      <w:r w:rsidR="00251220" w:rsidRPr="00524438">
        <w:rPr>
          <w:rFonts w:ascii="Arial" w:hAnsi="Arial" w:cs="Arial"/>
          <w:b/>
          <w:i/>
          <w:color w:val="231F1F"/>
          <w:sz w:val="24"/>
          <w:szCs w:val="24"/>
        </w:rPr>
        <w:t xml:space="preserve"> - </w:t>
      </w:r>
      <w:r w:rsidR="004E557E" w:rsidRPr="00524438">
        <w:rPr>
          <w:rFonts w:ascii="Arial" w:hAnsi="Arial" w:cs="Arial"/>
          <w:b/>
          <w:color w:val="231F1F"/>
          <w:sz w:val="24"/>
          <w:szCs w:val="24"/>
        </w:rPr>
        <w:t>Entrée en vigueur</w:t>
      </w:r>
    </w:p>
    <w:p w:rsidR="004E557E" w:rsidRPr="004835AA" w:rsidRDefault="004835AA" w:rsidP="004835AA">
      <w:pPr>
        <w:tabs>
          <w:tab w:val="left" w:pos="284"/>
        </w:tabs>
        <w:spacing w:before="120" w:after="120"/>
        <w:jc w:val="both"/>
        <w:rPr>
          <w:rFonts w:ascii="Arial" w:hAnsi="Arial" w:cs="Arial"/>
          <w:color w:val="231F1F"/>
        </w:rPr>
      </w:pPr>
      <w:r w:rsidRPr="004835AA">
        <w:rPr>
          <w:rFonts w:ascii="Arial" w:hAnsi="Arial" w:cs="Arial"/>
          <w:w w:val="88"/>
        </w:rPr>
        <w:t xml:space="preserve">Le présent règlement entre en vigueur le vingtième jour suivant celui de sa publication au </w:t>
      </w:r>
      <w:r w:rsidRPr="004835AA">
        <w:rPr>
          <w:rFonts w:ascii="Arial" w:hAnsi="Arial" w:cs="Arial"/>
          <w:iCs/>
          <w:w w:val="88"/>
        </w:rPr>
        <w:t>bulletin officiel de la Communauté</w:t>
      </w:r>
      <w:r w:rsidRPr="004835AA">
        <w:rPr>
          <w:rFonts w:ascii="Arial" w:hAnsi="Arial" w:cs="Arial"/>
          <w:w w:val="88"/>
        </w:rPr>
        <w:t xml:space="preserve">. Il est applicable le </w:t>
      </w:r>
      <w:r w:rsidRPr="004835AA">
        <w:rPr>
          <w:rFonts w:ascii="Arial" w:hAnsi="Arial" w:cs="Arial"/>
          <w:color w:val="FF0000"/>
          <w:w w:val="88"/>
          <w:highlight w:val="yellow"/>
        </w:rPr>
        <w:t>31 décembre 2020</w:t>
      </w:r>
      <w:r w:rsidRPr="004835AA">
        <w:rPr>
          <w:rFonts w:ascii="Arial" w:hAnsi="Arial" w:cs="Arial"/>
          <w:w w:val="88"/>
        </w:rPr>
        <w:t>.</w:t>
      </w:r>
    </w:p>
    <w:p w:rsidR="004E557E" w:rsidRPr="004835AA" w:rsidRDefault="004E557E" w:rsidP="004835AA">
      <w:pPr>
        <w:tabs>
          <w:tab w:val="left" w:pos="284"/>
        </w:tabs>
        <w:spacing w:before="120" w:after="120"/>
        <w:jc w:val="both"/>
        <w:rPr>
          <w:rFonts w:ascii="Arial" w:hAnsi="Arial" w:cs="Arial"/>
          <w:color w:val="231F1F"/>
        </w:rPr>
      </w:pPr>
      <w:r w:rsidRPr="004835AA">
        <w:rPr>
          <w:rFonts w:ascii="Arial" w:hAnsi="Arial" w:cs="Arial"/>
          <w:color w:val="231F1F"/>
        </w:rPr>
        <w:t>Le présent règlement est obligatoire dans tous ses éléments et directement applicable dans tout État membre.</w:t>
      </w:r>
    </w:p>
    <w:p w:rsidR="004272C5" w:rsidRPr="004272C5" w:rsidRDefault="004272C5" w:rsidP="004272C5">
      <w:pPr>
        <w:shd w:val="clear" w:color="auto" w:fill="FFFFFF"/>
        <w:spacing w:before="360"/>
        <w:ind w:left="1541"/>
        <w:jc w:val="both"/>
        <w:rPr>
          <w:rFonts w:ascii="Arial" w:hAnsi="Arial" w:cs="Arial"/>
        </w:rPr>
      </w:pPr>
      <w:r w:rsidRPr="004272C5">
        <w:rPr>
          <w:rFonts w:ascii="Arial" w:hAnsi="Arial" w:cs="Arial"/>
          <w:w w:val="88"/>
        </w:rPr>
        <w:t>Fait à Malabo, le X</w:t>
      </w:r>
      <w:bookmarkStart w:id="0" w:name="_GoBack"/>
      <w:bookmarkEnd w:id="0"/>
      <w:r w:rsidRPr="004272C5">
        <w:rPr>
          <w:rFonts w:ascii="Arial" w:hAnsi="Arial" w:cs="Arial"/>
          <w:w w:val="88"/>
        </w:rPr>
        <w:t>X     XXX 2020</w:t>
      </w:r>
    </w:p>
    <w:p w:rsidR="004272C5" w:rsidRPr="004272C5" w:rsidRDefault="004272C5" w:rsidP="004272C5">
      <w:pPr>
        <w:shd w:val="clear" w:color="auto" w:fill="FFFFFF"/>
        <w:spacing w:before="230"/>
        <w:ind w:left="3845"/>
        <w:jc w:val="center"/>
        <w:rPr>
          <w:rFonts w:ascii="Arial" w:hAnsi="Arial" w:cs="Arial"/>
        </w:rPr>
      </w:pPr>
      <w:r w:rsidRPr="004272C5">
        <w:rPr>
          <w:rFonts w:ascii="Arial" w:hAnsi="Arial" w:cs="Arial"/>
          <w:i/>
          <w:iCs/>
          <w:spacing w:val="-2"/>
          <w:w w:val="88"/>
        </w:rPr>
        <w:t>Par la Commission</w:t>
      </w:r>
    </w:p>
    <w:p w:rsidR="004272C5" w:rsidRPr="004272C5" w:rsidRDefault="004272C5" w:rsidP="004272C5">
      <w:pPr>
        <w:shd w:val="clear" w:color="auto" w:fill="FFFFFF"/>
        <w:spacing w:before="62"/>
        <w:ind w:left="3845"/>
        <w:jc w:val="center"/>
        <w:rPr>
          <w:rFonts w:ascii="Arial" w:hAnsi="Arial" w:cs="Arial"/>
          <w:i/>
          <w:iCs/>
          <w:spacing w:val="-5"/>
          <w:w w:val="88"/>
        </w:rPr>
      </w:pPr>
      <w:r w:rsidRPr="004272C5">
        <w:rPr>
          <w:rFonts w:ascii="Arial" w:hAnsi="Arial" w:cs="Arial"/>
          <w:i/>
          <w:iCs/>
          <w:spacing w:val="-5"/>
          <w:w w:val="88"/>
        </w:rPr>
        <w:t>Le Président</w:t>
      </w:r>
    </w:p>
    <w:p w:rsidR="004E557E" w:rsidRPr="002640C0" w:rsidRDefault="004E557E" w:rsidP="004E557E">
      <w:pPr>
        <w:spacing w:before="120" w:after="120" w:line="360" w:lineRule="auto"/>
        <w:jc w:val="both"/>
        <w:rPr>
          <w:rFonts w:ascii="Arial" w:hAnsi="Arial" w:cs="Arial"/>
          <w:color w:val="231F1F"/>
        </w:rPr>
      </w:pPr>
    </w:p>
    <w:sectPr w:rsidR="004E557E" w:rsidRPr="002640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40" w:rsidRDefault="00E66E40" w:rsidP="00E82986">
      <w:pPr>
        <w:spacing w:after="0" w:line="240" w:lineRule="auto"/>
      </w:pPr>
      <w:r>
        <w:separator/>
      </w:r>
    </w:p>
  </w:endnote>
  <w:endnote w:type="continuationSeparator" w:id="0">
    <w:p w:rsidR="00E66E40" w:rsidRDefault="00E66E40" w:rsidP="00E8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6090100"/>
      <w:docPartObj>
        <w:docPartGallery w:val="Page Numbers (Bottom of Page)"/>
        <w:docPartUnique/>
      </w:docPartObj>
    </w:sdtPr>
    <w:sdtEndPr/>
    <w:sdtContent>
      <w:p w:rsidR="00E82986" w:rsidRPr="00E82986" w:rsidRDefault="00E82986">
        <w:pPr>
          <w:pStyle w:val="Pieddepage"/>
          <w:jc w:val="right"/>
          <w:rPr>
            <w:rFonts w:ascii="Arial" w:hAnsi="Arial" w:cs="Arial"/>
          </w:rPr>
        </w:pPr>
        <w:r w:rsidRPr="00E82986">
          <w:rPr>
            <w:rFonts w:ascii="Arial" w:hAnsi="Arial" w:cs="Arial"/>
          </w:rPr>
          <w:t xml:space="preserve">Page  </w:t>
        </w:r>
        <w:r w:rsidRPr="00E82986">
          <w:rPr>
            <w:rFonts w:ascii="Arial" w:hAnsi="Arial" w:cs="Arial"/>
          </w:rPr>
          <w:fldChar w:fldCharType="begin"/>
        </w:r>
        <w:r w:rsidRPr="00E82986">
          <w:rPr>
            <w:rFonts w:ascii="Arial" w:hAnsi="Arial" w:cs="Arial"/>
          </w:rPr>
          <w:instrText>PAGE   \* MERGEFORMAT</w:instrText>
        </w:r>
        <w:r w:rsidRPr="00E82986">
          <w:rPr>
            <w:rFonts w:ascii="Arial" w:hAnsi="Arial" w:cs="Arial"/>
          </w:rPr>
          <w:fldChar w:fldCharType="separate"/>
        </w:r>
        <w:r w:rsidR="004272C5">
          <w:rPr>
            <w:rFonts w:ascii="Arial" w:hAnsi="Arial" w:cs="Arial"/>
            <w:noProof/>
          </w:rPr>
          <w:t>5</w:t>
        </w:r>
        <w:r w:rsidRPr="00E82986">
          <w:rPr>
            <w:rFonts w:ascii="Arial" w:hAnsi="Arial" w:cs="Arial"/>
          </w:rPr>
          <w:fldChar w:fldCharType="end"/>
        </w:r>
        <w:r w:rsidRPr="00E82986">
          <w:rPr>
            <w:rFonts w:ascii="Arial" w:hAnsi="Arial" w:cs="Arial"/>
          </w:rPr>
          <w:t xml:space="preserve">  de  5</w:t>
        </w:r>
      </w:p>
    </w:sdtContent>
  </w:sdt>
  <w:p w:rsidR="00E82986" w:rsidRDefault="00E8298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40" w:rsidRDefault="00E66E40" w:rsidP="00E82986">
      <w:pPr>
        <w:spacing w:after="0" w:line="240" w:lineRule="auto"/>
      </w:pPr>
      <w:r>
        <w:separator/>
      </w:r>
    </w:p>
  </w:footnote>
  <w:footnote w:type="continuationSeparator" w:id="0">
    <w:p w:rsidR="00E66E40" w:rsidRDefault="00E66E40" w:rsidP="00E8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F96"/>
    <w:multiLevelType w:val="hybridMultilevel"/>
    <w:tmpl w:val="5EE4ED2C"/>
    <w:lvl w:ilvl="0" w:tplc="7590B944">
      <w:start w:val="1"/>
      <w:numFmt w:val="lowerRoman"/>
      <w:lvlText w:val="(%1)."/>
      <w:lvlJc w:val="right"/>
      <w:pPr>
        <w:ind w:left="1070" w:hanging="360"/>
      </w:pPr>
      <w:rPr>
        <w:rFonts w:ascii="Arial" w:hAnsi="Arial" w:cs="Arial"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15:restartNumberingAfterBreak="0">
    <w:nsid w:val="03F2074C"/>
    <w:multiLevelType w:val="hybridMultilevel"/>
    <w:tmpl w:val="7C4E4BF8"/>
    <w:lvl w:ilvl="0" w:tplc="D2DA8E98">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86F49"/>
    <w:multiLevelType w:val="hybridMultilevel"/>
    <w:tmpl w:val="482AF3A0"/>
    <w:lvl w:ilvl="0" w:tplc="57027E7C">
      <w:start w:val="1"/>
      <w:numFmt w:val="lowerRoman"/>
      <w:lvlText w:val="(%1)"/>
      <w:lvlJc w:val="left"/>
      <w:pPr>
        <w:ind w:left="1440" w:hanging="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8D1F34"/>
    <w:multiLevelType w:val="multilevel"/>
    <w:tmpl w:val="F320B360"/>
    <w:lvl w:ilvl="0">
      <w:start w:val="1"/>
      <w:numFmt w:val="decimal"/>
      <w:lvlText w:val="%1"/>
      <w:lvlJc w:val="left"/>
      <w:pPr>
        <w:ind w:left="847" w:hanging="705"/>
      </w:pPr>
      <w:rPr>
        <w:rFonts w:hint="default"/>
        <w:i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5C0603"/>
    <w:multiLevelType w:val="hybridMultilevel"/>
    <w:tmpl w:val="C5CA8ACA"/>
    <w:lvl w:ilvl="0" w:tplc="DE90C4F4">
      <w:start w:val="1"/>
      <w:numFmt w:val="lowerLetter"/>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707E66"/>
    <w:multiLevelType w:val="hybridMultilevel"/>
    <w:tmpl w:val="A294B9F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225E2C34"/>
    <w:multiLevelType w:val="hybridMultilevel"/>
    <w:tmpl w:val="AAB8CEC2"/>
    <w:lvl w:ilvl="0" w:tplc="96E20698">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816746"/>
    <w:multiLevelType w:val="hybridMultilevel"/>
    <w:tmpl w:val="57E434A4"/>
    <w:lvl w:ilvl="0" w:tplc="DE90C4F4">
      <w:start w:val="1"/>
      <w:numFmt w:val="lowerLetter"/>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9363E"/>
    <w:multiLevelType w:val="hybridMultilevel"/>
    <w:tmpl w:val="2AC2C6F0"/>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15:restartNumberingAfterBreak="0">
    <w:nsid w:val="3C361D20"/>
    <w:multiLevelType w:val="hybridMultilevel"/>
    <w:tmpl w:val="133C2B9E"/>
    <w:lvl w:ilvl="0" w:tplc="CB40E072">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017733"/>
    <w:multiLevelType w:val="hybridMultilevel"/>
    <w:tmpl w:val="25B0131C"/>
    <w:lvl w:ilvl="0" w:tplc="BCB868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EF7092"/>
    <w:multiLevelType w:val="hybridMultilevel"/>
    <w:tmpl w:val="060685AE"/>
    <w:lvl w:ilvl="0" w:tplc="E49E1D10">
      <w:start w:val="1"/>
      <w:numFmt w:val="decimal"/>
      <w:lvlText w:val="%1."/>
      <w:lvlJc w:val="left"/>
      <w:pPr>
        <w:ind w:left="360" w:hanging="360"/>
      </w:pPr>
      <w:rPr>
        <w:rFonts w:ascii="Arial" w:hAnsi="Arial" w:cs="Arial" w:hint="default"/>
        <w:color w:val="231F1F"/>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FE85A29"/>
    <w:multiLevelType w:val="hybridMultilevel"/>
    <w:tmpl w:val="57CC9D52"/>
    <w:lvl w:ilvl="0" w:tplc="32A43C6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77F715D9"/>
    <w:multiLevelType w:val="hybridMultilevel"/>
    <w:tmpl w:val="9050D238"/>
    <w:lvl w:ilvl="0" w:tplc="DE90C4F4">
      <w:start w:val="1"/>
      <w:numFmt w:val="lowerLetter"/>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A11B4F"/>
    <w:multiLevelType w:val="hybridMultilevel"/>
    <w:tmpl w:val="C662313E"/>
    <w:lvl w:ilvl="0" w:tplc="7994C4D0">
      <w:start w:val="1"/>
      <w:numFmt w:val="lowerRoman"/>
      <w:lvlText w:val="%1)"/>
      <w:lvlJc w:val="left"/>
      <w:pPr>
        <w:ind w:left="1440" w:hanging="720"/>
      </w:pPr>
      <w:rPr>
        <w:rFonts w:ascii="Arial" w:hAnsi="Arial" w:cs="Arial" w:hint="default"/>
        <w:color w:val="231F1F"/>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8C03F18"/>
    <w:multiLevelType w:val="multilevel"/>
    <w:tmpl w:val="90DE0B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AB005F5"/>
    <w:multiLevelType w:val="hybridMultilevel"/>
    <w:tmpl w:val="783CF2C8"/>
    <w:lvl w:ilvl="0" w:tplc="F69C4EF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1"/>
  </w:num>
  <w:num w:numId="2">
    <w:abstractNumId w:val="9"/>
  </w:num>
  <w:num w:numId="3">
    <w:abstractNumId w:val="1"/>
  </w:num>
  <w:num w:numId="4">
    <w:abstractNumId w:val="14"/>
  </w:num>
  <w:num w:numId="5">
    <w:abstractNumId w:val="12"/>
  </w:num>
  <w:num w:numId="6">
    <w:abstractNumId w:val="3"/>
  </w:num>
  <w:num w:numId="7">
    <w:abstractNumId w:val="15"/>
  </w:num>
  <w:num w:numId="8">
    <w:abstractNumId w:val="16"/>
  </w:num>
  <w:num w:numId="9">
    <w:abstractNumId w:val="0"/>
  </w:num>
  <w:num w:numId="10">
    <w:abstractNumId w:val="10"/>
  </w:num>
  <w:num w:numId="11">
    <w:abstractNumId w:val="6"/>
  </w:num>
  <w:num w:numId="12">
    <w:abstractNumId w:val="5"/>
  </w:num>
  <w:num w:numId="13">
    <w:abstractNumId w:val="8"/>
  </w:num>
  <w:num w:numId="14">
    <w:abstractNumId w:val="13"/>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7E"/>
    <w:rsid w:val="000159DF"/>
    <w:rsid w:val="00042209"/>
    <w:rsid w:val="00251220"/>
    <w:rsid w:val="004272C5"/>
    <w:rsid w:val="004835AA"/>
    <w:rsid w:val="004E557E"/>
    <w:rsid w:val="00524438"/>
    <w:rsid w:val="008E389E"/>
    <w:rsid w:val="008E4950"/>
    <w:rsid w:val="00AC14F9"/>
    <w:rsid w:val="00BF3DED"/>
    <w:rsid w:val="00D12D8A"/>
    <w:rsid w:val="00E66E40"/>
    <w:rsid w:val="00E82986"/>
    <w:rsid w:val="00E96E2C"/>
    <w:rsid w:val="00F81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559211-044C-4320-BD0A-01965918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7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57E"/>
    <w:pPr>
      <w:ind w:left="720"/>
      <w:contextualSpacing/>
    </w:pPr>
  </w:style>
  <w:style w:type="paragraph" w:customStyle="1" w:styleId="Default">
    <w:name w:val="Default"/>
    <w:rsid w:val="004835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4835AA"/>
    <w:rPr>
      <w:color w:val="auto"/>
    </w:rPr>
  </w:style>
  <w:style w:type="paragraph" w:customStyle="1" w:styleId="CM3">
    <w:name w:val="CM3"/>
    <w:basedOn w:val="Default"/>
    <w:next w:val="Default"/>
    <w:uiPriority w:val="99"/>
    <w:rsid w:val="004835AA"/>
    <w:rPr>
      <w:color w:val="auto"/>
    </w:rPr>
  </w:style>
  <w:style w:type="paragraph" w:styleId="En-tte">
    <w:name w:val="header"/>
    <w:basedOn w:val="Normal"/>
    <w:link w:val="En-tteCar"/>
    <w:uiPriority w:val="99"/>
    <w:unhideWhenUsed/>
    <w:rsid w:val="00E82986"/>
    <w:pPr>
      <w:tabs>
        <w:tab w:val="center" w:pos="4536"/>
        <w:tab w:val="right" w:pos="9072"/>
      </w:tabs>
      <w:spacing w:after="0" w:line="240" w:lineRule="auto"/>
    </w:pPr>
  </w:style>
  <w:style w:type="character" w:customStyle="1" w:styleId="En-tteCar">
    <w:name w:val="En-tête Car"/>
    <w:basedOn w:val="Policepardfaut"/>
    <w:link w:val="En-tte"/>
    <w:uiPriority w:val="99"/>
    <w:rsid w:val="00E82986"/>
  </w:style>
  <w:style w:type="paragraph" w:styleId="Pieddepage">
    <w:name w:val="footer"/>
    <w:basedOn w:val="Normal"/>
    <w:link w:val="PieddepageCar"/>
    <w:uiPriority w:val="99"/>
    <w:unhideWhenUsed/>
    <w:rsid w:val="00E829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2161</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2020-06-06T08:20:00Z</dcterms:created>
  <dcterms:modified xsi:type="dcterms:W3CDTF">2020-06-14T15:27:00Z</dcterms:modified>
</cp:coreProperties>
</file>